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7 VO-ID212676 (Brandenburg) — Ausnahmen, Befreiungen</w:t>
      </w:r>
    </w:p>
    <w:p>
      <w:r>
        <w:rPr>
          <w:color w:val="555555"/>
          <w:sz w:val="18"/>
        </w:rPr>
        <w:t xml:space="preserve">Verordnung über den Schutzwald „Ziltendorfer Düne“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Ausgenommen von den Verboten des § 4 bleiben Maßnahmen, die der Abwehr einer</w:t>
      </w:r>
    </w:p>
    <w:p>
      <w:r>
        <w:t xml:space="preserve">unmittelbar drohenden Gefahr für die öffentliche Sicherheit dienen. Die untere Forstbehörde ist über die getroffenen Maßnahmen unverzüglich zu unterrichten.</w:t>
      </w:r>
    </w:p>
    <w:p>
      <w:r>
        <w:t xml:space="preserve">Sie kann nachträglich ergänzende Anordnungen zur Vereinbarkeit mit dem Schutzzweck treffen.</w:t>
      </w:r>
    </w:p>
    <w:p>
      <w:r>
        <w:t xml:space="preserve">(2) Aus Gründen des Waldschutzes und zur Nutzung nach Naturereignissen wie Sturm oder</w:t>
      </w:r>
    </w:p>
    <w:p>
      <w:r>
        <w:t xml:space="preserve">Waldbrand kann die untere Forstbehörde Ausnahmen von den Verboten dieser Verordnung zulassen, sofern der Schutzzweck nicht beeinträchtigt wird.</w:t>
      </w:r>
    </w:p>
    <w:p>
      <w:r>
        <w:t xml:space="preserve">(3) Wenn überwiegende Gründe des Gemeinwohls es erfordern, kann die untere Forstbehörde</w:t>
      </w:r>
    </w:p>
    <w:p>
      <w:r>
        <w:t xml:space="preserve">im Einvernehmen mit der unteren Naturschutzbehörde auf Antrag Befreiungen von den Verboten dieser Verordnung gewähren.</w:t>
      </w:r>
    </w:p>
    <w:p>
      <w:r>
        <w:rPr>
          <w:color w:val="555555"/>
          <w:sz w:val="17"/>
        </w:rPr>
        <w:t xml:space="preserve">Zitiervorschlag: § 7 VO-ID212676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https://recht.nulegal.eu/gesetze/VO-ID212676/7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7 VO-ID212676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