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VO-ID212675 (Brandenburg) — Schutz der Zone III A</w:t>
      </w:r>
    </w:p>
    <w:p>
      <w:r>
        <w:rPr>
          <w:color w:val="555555"/>
          <w:sz w:val="18"/>
        </w:rPr>
        <w:t xml:space="preserve">Verordnung zur Festsetzung des Wasserschutzgebietes Templin</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Verbote der Zone III B gelten auch in der Zone III A. In der Zone III A sind außerdem verboten:</w:t>
      </w:r>
    </w:p>
    <w:p>
      <w:r>
        <w:t xml:space="preserve">das Errichten, Erweitern oder Betreiben von Tiefbehältern zur Lagerung von Gülle, Jauche oder Silagesickersäften,</w:t>
      </w:r>
    </w:p>
    <w:p>
      <w:r>
        <w:t xml:space="preserve">das Errichten oder Erweitern von Stallungen für Tierbestände, ausgenommen für Kleintierhaltung zur Eigenversorgung,</w:t>
      </w:r>
    </w:p>
    <w:p>
      <w:r>
        <w:t xml:space="preserve">die Freilandtierhaltung im Sinne der Anlage 1 Nummer 2, wenn die Ernährung der Tiere nicht im Wesentlichen aus der genutzten Weidefläche erfolgt oder wenn die Grasnarbe flächig verletzt wird, ausgenommen Kleintierhaltung für die Eigenversorgung,</w:t>
      </w:r>
    </w:p>
    <w:p>
      <w:r>
        <w:t xml:space="preserve">das Errichten oder Erweitern von Gartenbaubetrieben oder Kleingartenanlagen, ausgenommen Gartenbaubetriebe, die in geschlossenen Systemen produzieren,</w:t>
      </w:r>
    </w:p>
    <w:p>
      <w:r>
        <w:t xml:space="preserve">die Neuanlage oder Erweiterung von Baumschulen oder forstlichen Pflanzgärten, Weihnachtsbaumkulturen sowie von gewerblichem Wein-, Hopfen-, Gemüse-, Obst- oder Zierpflanzenanbau, ausgenommen Gemüse- sowie Zierpflanzenanbau unter Glas in geschlossenen Systemen und Containerproduktion von Baumschulprodukten auf versiegelten Flächen,</w:t>
      </w:r>
    </w:p>
    <w:p>
      <w:r>
        <w:t xml:space="preserve">das Einrichten oder Erweitern von dauerhaften Holzlagerplätzen über 100 Raummeter,</w:t>
      </w:r>
    </w:p>
    <w:p>
      <w:r>
        <w:t xml:space="preserve">Erdaufschlüsse im Sinne des § 49 Absatz 1 des Wasserhaushaltsgesetzes, selbst wenn Grundwasser nicht aufgedeckt wird, ausgenommen das Verlegen von Ver- und Entsorgungsleitungen und die Herstellung von Baugruben und Bohrungen,</w:t>
      </w:r>
    </w:p>
    <w:p>
      <w:r>
        <w:t xml:space="preserve">das Errichten, Erweitern oder Erneuern von Tiefenbohrungen über 100 Meter, Grundwassermessstellen oder Brunnen, ausgenommen das Erneuern von Brunnen für Entnahmen mit wasserrechtlicher Erlaubnis oder Bewilligung,</w:t>
      </w:r>
    </w:p>
    <w:p>
      <w:r>
        <w:t xml:space="preserve">das Errichten oder Erweitern von Anlagen zum Umgang mit wassergefährdenden Stoffen, ausgenommen doppelwandige Anlagen mit Leckanzeigegerät und ausgenommen Anlagen, die mit einem Auffangraum ausgerüstet sind, der das maximal in der Anlage vorhandene Volumen wassergefährdender Stoffe aufnehmen kann, und soweit</w:t>
      </w:r>
    </w:p>
    <w:p>
      <w:r>
        <w:t xml:space="preserve">in unterirdischen Anlagen für flüssige Stoffe der Wassergefährdungsklasse 1 das für die Anlage maßgebende Volumen von 1 000 Kubikmetern beziehungsweise bei festen oder gasförmigen Stoffen der Wassergefährdungsklasse 1 die für die Anlage maßgebende Masse von 1 000 Tonnen,</w:t>
      </w:r>
    </w:p>
    <w:p>
      <w:r>
        <w:t xml:space="preserve">in oberirdischen Anlagen für flüssige Stoffe der Wassergefährdungsklasse 2 das für die Anlage maßgebende Volumen von 100 Kubikmetern beziehungsweise bei festen oder gasförmigen Stoffen der Wassergefährdungsklasse 2 die für die Anlage maßgebende Masse von 100 Tonnen,</w:t>
      </w:r>
    </w:p>
    <w:p>
      <w:r>
        <w:t xml:space="preserve">in unterirdischen Anlagen für flüssige Stoffe der Wassergefährdungsklasse 2 das für die Anlage maßgebende Volumen von 10 Kubikmetern beziehungsweise bei festen oder gasförmigen Stoffen der Wasser-gefährdungsklasse 2 die für die Anlage maßgebende Masse von 10 Tonnen,</w:t>
      </w:r>
    </w:p>
    <w:p>
      <w:r>
        <w:t xml:space="preserve">in oberirdischen Anlagen für flüssige Stoffe der Wassergefährdungsklasse 3 das für die Anlage maßgebende Volumen von 10 Kubikmetern beziehungsweise bei festen oder gasförmigen Stoffen der Wasser-gefährdungsklasse 3 die für die Anlage maßgebende Masse von 10 Tonnen,</w:t>
      </w:r>
    </w:p>
    <w:p>
      <w:r>
        <w:t xml:space="preserve">in unterirdischen Anlagen für flüssige Stoffe der Wassergefährdungsklasse 3 das für die Anlage maßgebende Volumen von 1 Kubikmeter beziehungsweise bei festen oder gasförmigen Stoffen der Wasser-gefährdungsklasse 3 die für die Anlage maßgebende Masse von 1 Tonne</w:t>
      </w:r>
    </w:p>
    <w:p>
      <w:r>
        <w:t xml:space="preserve">nicht überschritten wird,</w:t>
      </w:r>
    </w:p>
    <w:p>
      <w:r>
        <w:t xml:space="preserve">das Errichten oder Erweitern von Regen- oder Mischwasserentlastungsbauwerken,</w:t>
      </w:r>
    </w:p>
    <w:p>
      <w:r>
        <w:t xml:space="preserve">das Errichten oder Erweitern von Bahnhöfen oder Schienenwegen der Eisenbahn, ausgenommen Baumaßnahmen an vorhandenen Anlagen zur Anpassung an den Stand der Technik und zum Erhalt oder zur Verbesserung der Verkehrssicherheit und der Verkehrsabwicklung,</w:t>
      </w:r>
    </w:p>
    <w:p>
      <w:r>
        <w:t xml:space="preserve">das Abhalten oder Durchführen von Märkten, Volksfesten oder Großveranstaltungen außerhalb der dafür vorgesehenen Anlagen,</w:t>
      </w:r>
    </w:p>
    <w:p>
      <w:r>
        <w:t xml:space="preserve">das Durchführen von Motorsportveranstaltungen, ausgenommen das Durchfahren auf klassifizierten Straßen,</w:t>
      </w:r>
    </w:p>
    <w:p>
      <w:r>
        <w:t xml:space="preserve">Bestattungen, ausgenommen innerhalb bereits bei Inkrafttreten dieser Verordnung bestehender Friedhöfe,</w:t>
      </w:r>
    </w:p>
    <w:p>
      <w:r>
        <w:t xml:space="preserve">die Darstellung von neuen Bauflächen oder Baugebieten im Rahmen der vorbereitenden Bauleitplanung, wenn darin eine Neubebauung bisher unbebauter Gebiete vorgesehen wird,</w:t>
      </w:r>
    </w:p>
    <w:p>
      <w:r>
        <w:t xml:space="preserve">die Festsetzung von neuen Baugebieten im Rahmen der verbindlichen Bauleitplanung, wenn dies zu einer Erhöhung der zulässigen Grundfläche im Sinne des § 19 Absatz 2 der Baunutzungsverordnung führt, ausgenommen</w:t>
      </w:r>
    </w:p>
    <w:p>
      <w:r>
        <w:t xml:space="preserve">Gebiete, die im zum Zeitpunkt des Inkrafttretens dieser Verordnung gültigen Flächennutzungsplan als Bauflächen oder Baugebiete dargestellt sind und</w:t>
      </w:r>
    </w:p>
    <w:p>
      <w:r>
        <w:t xml:space="preserve">die Überplanung von Bestandsgebieten, wenn dies zu keiner wesentlichen Erhöhung der zulässigen Grundfläche im Sinne des § 19 Absatz 2 der Baunutzungsverordnung führt.</w:t>
      </w:r>
    </w:p>
    <w:p>
      <w:r>
        <w:rPr>
          <w:color w:val="555555"/>
          <w:sz w:val="17"/>
        </w:rPr>
        <w:t xml:space="preserve">Zitiervorschlag: § 4 VO-ID212675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https://recht.nulegal.eu/gesetze/VO-ID212675/4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