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VO-ID212675 (Brandenburg) — Übergangsregelung</w:t>
      </w:r>
    </w:p>
    <w:p>
      <w:r>
        <w:rPr>
          <w:color w:val="555555"/>
          <w:sz w:val="18"/>
        </w:rPr>
        <w:t xml:space="preserve">Verordnung zur Festsetzung des Wasserschutzgebietes Templin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bei Inkrafttreten dieser Verordnung errichtete und betriebene Anlagen gilt das Verbot des Betreibens gemäß § 3 Nummer 3, 5 und 7 und § 4 Nummer 1 nach einem Jahr nach Inkrafttreten dieser Verordnung.</w:t>
      </w:r>
    </w:p>
    <w:p>
      <w:r>
        <w:rPr>
          <w:color w:val="555555"/>
          <w:sz w:val="17"/>
        </w:rPr>
        <w:t xml:space="preserve">Zitiervorschlag: § 11 VO-ID212675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https://recht.nulegal.eu/gesetze/VO-ID212675/11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