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VO-ID212672 (Brandenburg) — Sicherung und Kennzeichnung des Wasserschutzgebietes</w:t>
      </w:r>
    </w:p>
    <w:p>
      <w:r>
        <w:rPr>
          <w:color w:val="555555"/>
          <w:sz w:val="18"/>
        </w:rPr>
        <w:t xml:space="preserve">Verordnung zur Festsetzung des Wasserschutzgebietes für das Wasserwerk Strausberg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Zone I ist vom Begünstigten auf Anordnung der unteren Wasserbehörde gegen unbefugtes Betreten, zum Beispiel durch eine Umzäunung, zu sichern.</w:t>
      </w:r>
    </w:p>
    <w:p>
      <w:r>
        <w:t xml:space="preserve">(2) Der Begünstigte hat auf Anordnung der Wasserbehörde zur Kennzeichnung des Wasserschutzgebietes im Bereich öffentlicher Verkehrsflächen bei der Straßenverkehrsbehörde die Anordnung des Verkehrszeichens 354 zu beantragen und im Bereich nichtöffentlicher Flächen in Abstimmung mit der Gemeinde nichtamtliche Hinweiszeichen aufzustellen.</w:t>
      </w:r>
    </w:p>
    <w:p>
      <w:r>
        <w:rPr>
          <w:color w:val="555555"/>
          <w:sz w:val="17"/>
        </w:rPr>
        <w:t xml:space="preserve">Zitiervorschlag: § 9 VO-ID212672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https://recht.nulegal.eu/gesetze/VO-ID212672/9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VO-ID212672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