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VO-ID212672 (Brandenburg) — Duldungspflichten</w:t>
      </w:r>
    </w:p>
    <w:p>
      <w:r>
        <w:rPr>
          <w:color w:val="555555"/>
          <w:sz w:val="18"/>
        </w:rPr>
        <w:t xml:space="preserve">Verordnung zur Festsetzung des Wasserschutzgebietes für das Wasserwerk Strausberg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Beachtung dieser Verordnung und der nach ihr getroffenen Anordnungen, sowie das Beobachten der Gewässer und des Bodens durch die zuständigen Wasserbehörden, den Begünstigten oder deren Beauftragte zu dulden.</w:t>
      </w:r>
    </w:p>
    <w:p>
      <w:r>
        <w:t xml:space="preserve">(2) Die Eigentümer oder Nutzungsberechtigten von Grundstücken im Wasserschutzgebiet sind auf Anordnung der unteren Wasserbehörde verpflichtet,</w:t>
      </w:r>
    </w:p>
    <w:p>
      <w:r>
        <w:t xml:space="preserve">das Errichten und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den Begünstigten oder deren Beauftragte zum Beobachten, Messen und Untersuchen des Grundwassers und zur Entnahme von Boden- und</w:t>
      </w:r>
    </w:p>
    <w:p>
      <w:r>
        <w:t xml:space="preserve">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10 VO-ID212672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https://recht.nulegal.eu/gesetze/VO-ID212672/10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VO-ID212672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