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VO-ID212670 (Brandenburg) — Inkrafttreten</w:t>
      </w:r>
    </w:p>
    <w:p>
      <w:r>
        <w:rPr>
          <w:color w:val="555555"/>
          <w:sz w:val="18"/>
        </w:rPr>
        <w:t xml:space="preserve">Dritte Verordnung über die Aufhebung von Wasserschutzgebieten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Potsdam, den 17. Juli 2012</w:t>
      </w:r>
    </w:p>
    <w:p>
      <w:r>
        <w:t xml:space="preserve">Die Ministerin für Umwelt,</w:t>
      </w:r>
    </w:p>
    <w:p>
      <w:r>
        <w:t xml:space="preserve">Gesundheit und Verbraucherschutz</w:t>
      </w:r>
    </w:p>
    <w:p>
      <w:r>
        <w:t xml:space="preserve">Anita Tack</w:t>
      </w:r>
    </w:p>
    <w:p>
      <w:r>
        <w:rPr>
          <w:color w:val="555555"/>
          <w:sz w:val="17"/>
        </w:rPr>
        <w:t xml:space="preserve">Zitiervorschlag: § 2 VO-ID212670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https://recht.nulegal.eu/gesetze/VO-ID212670/2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