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VO-ID212652 (Brandenburg) — Schutz der Zone I</w:t>
      </w:r>
    </w:p>
    <w:p>
      <w:r>
        <w:rPr>
          <w:color w:val="555555"/>
          <w:sz w:val="18"/>
        </w:rPr>
        <w:t xml:space="preserve">Verordnung zur Festsetzung des Wasserschutzgebietes für das Wasserwerk Premnitz-Königshütte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der Zonen III B, III A und II gelten auch in der Zone I. In der Zone I sind außerdem verboten:</w:t>
      </w:r>
    </w:p>
    <w:p>
      <w:r>
        <w:t xml:space="preserve">das Betreten oder Befahren,</w:t>
      </w:r>
    </w:p>
    <w:p>
      <w:r>
        <w:t xml:space="preserve">land-, forst- oder gartenbauliche Nutzung,</w:t>
      </w:r>
    </w:p>
    <w:p>
      <w:r>
        <w:t xml:space="preserve">Veränderungen oder Aufschlüsse der Erdoberfläche.</w:t>
      </w:r>
    </w:p>
    <w:p>
      <w:r>
        <w:rPr>
          <w:color w:val="555555"/>
          <w:sz w:val="17"/>
        </w:rPr>
        <w:t xml:space="preserve">Zitiervorschlag: § 6 VO-ID212652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https://recht.nulegal.eu/gesetze/VO-ID212652/6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