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VO-ID212652 (Brandenburg) — Inkrafttreten, Außerkrafttreten</w:t>
      </w:r>
    </w:p>
    <w:p>
      <w:r>
        <w:rPr>
          <w:color w:val="555555"/>
          <w:sz w:val="18"/>
        </w:rPr>
        <w:t xml:space="preserve">Verordnung zur Festsetzung des Wasserschutzgebietes für das Wasserwerk Premnitz-Königshütte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Diese Verordnung tritt am Tag nach der Verkündung in Kraft. Gleichzeitig wird das mit Beschluss Nummer 0109/74 vom 14. März 1974 des Kreistages Rathenow festgesetzte Trinkwasserschutzgebiet für das Wasserwerk Premnitz-Königshütte aufgehoben.</w:t>
      </w:r>
    </w:p>
    <w:p>
      <w:r>
        <w:t xml:space="preserve">Potsdam, den 2. Mai 2012</w:t>
      </w:r>
    </w:p>
    <w:p>
      <w:r>
        <w:t xml:space="preserve">Die Ministerin für Umwelt,</w:t>
      </w:r>
    </w:p>
    <w:p>
      <w:r>
        <w:t xml:space="preserve">Gesundheit und Verbraucherschutz</w:t>
      </w:r>
    </w:p>
    <w:p>
      <w:r>
        <w:t xml:space="preserve">Anita Tack</w:t>
      </w:r>
    </w:p>
    <w:p>
      <w:r>
        <w:rPr>
          <w:color w:val="555555"/>
          <w:sz w:val="17"/>
        </w:rPr>
        <w:t xml:space="preserve">Zitiervorschlag: § 12 VO-ID212652 (Brandenburg)</w:t>
      </w:r>
    </w:p>
    <w:p>
      <w:r>
        <w:rPr>
          <w:color w:val="555555"/>
          <w:sz w:val="17"/>
        </w:rPr>
        <w:t xml:space="preserve">Quelle: bravors, abgerufen 01.09.2026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https://recht.nulegal.eu/gesetze/VO-ID212652/12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