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VO-ID212652 (Brandenburg) — Übergangsregelung</w:t>
      </w:r>
    </w:p>
    <w:p>
      <w:r>
        <w:rPr>
          <w:color w:val="555555"/>
          <w:sz w:val="18"/>
        </w:rPr>
        <w:t xml:space="preserve">Verordnung zur Festsetzung des Wasserschutzgebietes für das Wasserwerk Premnitz-Königshütte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bei Inkrafttreten dieser Verordnung errichtete und betriebene Anlagen gilt das Verbot des Betreibens gemäß § 3 Nummer 3 und 5 nach einem Jahr nach Inkrafttreten dieser Verordnung.</w:t>
      </w:r>
    </w:p>
    <w:p>
      <w:r>
        <w:rPr>
          <w:color w:val="555555"/>
          <w:sz w:val="17"/>
        </w:rPr>
        <w:t xml:space="preserve">Zitiervorschlag: § 11 VO-ID212652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https://recht.nulegal.eu/gesetze/VO-ID212652/11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