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VO-ID212651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für das Wasserwerk Potsdam - Wildpark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Zone I ist von der Begünstigten auf Anordnung der unteren Wasserbehörde gegen unbefugtes Betreten, zum Beispiel durch eine Umzäunung, zu sichern.</w:t>
      </w:r>
    </w:p>
    <w:p>
      <w:r>
        <w:t xml:space="preserve">(2) Das Wasserschutzgebiet ist von der Begünstigten auf Anordnung der unteren Wasserbehörde durch eine entsprechende Beschilderung ausreichend zu kennzeichnen.</w:t>
      </w:r>
    </w:p>
    <w:p>
      <w:r>
        <w:rPr>
          <w:color w:val="555555"/>
          <w:sz w:val="17"/>
        </w:rPr>
        <w:t xml:space="preserve">Zitiervorschlag: § 9 VO-ID212651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https://recht.nulegal.eu/gesetze/VO-ID212651/9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