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VO-ID212650 (Brandenburg) — Maßnahmen zur Wassergewinnung</w:t>
      </w:r>
    </w:p>
    <w:p>
      <w:r>
        <w:rPr>
          <w:color w:val="555555"/>
          <w:sz w:val="18"/>
        </w:rPr>
        <w:t xml:space="preserve">Verordnung zur Festsetzung des Wasserschutzgebietes für das Wasserwerk Oranienburg-Sachsenhausen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Verbote des § 3 Nummer 34, des § 4 Nummer 8, des § 5 Nummer 12, 18, 28 bis 31 sowie des § 6 Nummer 1 und 3 gelten nicht für Maßnahmen zur Wassergewinnung, die durch diese Verordnung geschützt ist.</w:t>
      </w:r>
    </w:p>
    <w:p>
      <w:r>
        <w:rPr>
          <w:color w:val="555555"/>
          <w:sz w:val="17"/>
        </w:rPr>
        <w:t xml:space="preserve">Zitiervorschlag: § 7 VO-ID212650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https://recht.nulegal.eu/gesetze/VO-ID212650/7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