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VO-ID212641 (Brandenburg)</w:t>
      </w:r>
    </w:p>
    <w:p>
      <w:r>
        <w:rPr>
          <w:color w:val="555555"/>
          <w:sz w:val="18"/>
        </w:rPr>
        <w:t xml:space="preserve">Achte Verordnung zur Übertragung der Befugnis für den Erlass von Rechtsverordnungen zur Festsetzung von Landschaftsschutzgebieten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</w:t>
      </w:r>
    </w:p>
    <w:p>
      <w:r>
        <w:t xml:space="preserve">Tag nach der Verkündung in Kraft.</w:t>
      </w:r>
    </w:p>
    <w:p>
      <w:r>
        <w:t xml:space="preserve">Potsdam, den 18. April 2012</w:t>
      </w:r>
    </w:p>
    <w:p>
      <w:r>
        <w:t xml:space="preserve">Die 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3 VO-ID212641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https://recht.nulegal.eu/gesetze/VO-ID212641/3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