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VO-ID212600 (Brandenburg) — Maßnahmen zur Wassergewinnung</w:t>
      </w:r>
    </w:p>
    <w:p>
      <w:r>
        <w:rPr>
          <w:color w:val="555555"/>
          <w:sz w:val="18"/>
        </w:rPr>
        <w:t xml:space="preserve">Verordnung zur Festsetzung des Wasserschutzgebietes Briesen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3 Nummer 22 und 41, des § 4 Nummer 14, 17, 26 bis 29 sowie des § 5 Nummer 1 und 3 gelten nicht für Maßnahmen zur Wassergewinnung, die durch diese Verordnung geschützt ist.</w:t>
      </w:r>
    </w:p>
    <w:p>
      <w:r>
        <w:rPr>
          <w:color w:val="555555"/>
          <w:sz w:val="17"/>
        </w:rPr>
        <w:t xml:space="preserve">Zitiervorschlag: § 6 VO-ID212600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https://recht.nulegal.eu/gesetze/VO-ID212600/6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