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VO-ID212600 (Brandenburg) — Allgemeines</w:t>
      </w:r>
    </w:p>
    <w:p>
      <w:r>
        <w:rPr>
          <w:color w:val="555555"/>
          <w:sz w:val="18"/>
        </w:rPr>
        <w:t xml:space="preserve">Verordnung zur Festsetzung des Wasserschutzgebietes Briesen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Zur Sicherung der öffentlichen Wasserversorgung wird zum Schutz des Grundwassers im Einzugsgebiet des Wasserwerkes Briesen das in § 2 näher umschriebene Wasserschutzgebiet festgesetzt. Begünstigte ist die Frankfurter Wasser- und Abwassergesellschaft mbH.</w:t>
      </w:r>
    </w:p>
    <w:p>
      <w:r>
        <w:t xml:space="preserve">(2) Das Wasserschutzgebiet gliedert sich in den Fassungsbereich (Zone I), in die engere Schutzzone (Zone II) und in die weitere Schutzzone (Zone III).</w:t>
      </w:r>
    </w:p>
    <w:p>
      <w:r>
        <w:rPr>
          <w:color w:val="555555"/>
          <w:sz w:val="17"/>
        </w:rPr>
        <w:t xml:space="preserve">Zitiervorschlag: § 1 VO-ID212600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https://recht.nulegal.eu/gesetze/VO-ID212600/1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