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VO-ID212599 (Brandenburg) — Inkrafttreten, Außerkrafttreten</w:t>
      </w:r>
    </w:p>
    <w:p>
      <w:r>
        <w:rPr>
          <w:color w:val="555555"/>
          <w:sz w:val="18"/>
        </w:rPr>
        <w:t xml:space="preserve">Verordnung zur Festsetzung des Wasserschutzgebietes Fichtenberg</w:t>
      </w:r>
    </w:p>
    <w:p>
      <w:r>
        <w:rPr>
          <w:color w:val="555555"/>
          <w:sz w:val="18"/>
        </w:rPr>
        <w:t xml:space="preserve">Landesrecht Brandenburg</w:t>
      </w:r>
    </w:p>
    <w:p>
      <w:r>
        <w:rPr>
          <w:color w:val="555555"/>
          <w:sz w:val="18"/>
        </w:rPr>
        <w:t xml:space="preserve">Stand: 01.09.2026 (konsolidierte Textfassung, kein amtliches Inkrafttretensdatum)</w:t>
      </w:r>
    </w:p>
    <w:p>
      <w:r>
        <w:t xml:space="preserve">Diese Verordnung tritt mit Wirkung vom 20. Dezember 2011 in Kraft. Gleichzeitig treten die Verordnung zur Festsetzung des Wasserschutzgebietes Fichtenberg vom 24. Oktober 2011 (GVBl. II Nr. 73) und das mit Beschluss Nummer 66/70 vom 23. September 1970 des Rates des Kreises Bad Liebenwerda festgesetzte Trinkwasserschutzgebiet für das Wasserwerk Fichtenberg außer Kraft.</w:t>
      </w:r>
    </w:p>
    <w:p>
      <w:r>
        <w:t xml:space="preserve">Potsdam, den 30. Oktober 2012</w:t>
      </w:r>
    </w:p>
    <w:p>
      <w:r>
        <w:t xml:space="preserve">Die Ministerin für Umwelt,</w:t>
      </w:r>
    </w:p>
    <w:p>
      <w:r>
        <w:t xml:space="preserve">Gesundheit und Verbraucherschutz</w:t>
      </w:r>
    </w:p>
    <w:p>
      <w:r>
        <w:t xml:space="preserve">Anita Tack</w:t>
      </w:r>
    </w:p>
    <w:p>
      <w:r>
        <w:rPr>
          <w:color w:val="555555"/>
          <w:sz w:val="17"/>
        </w:rPr>
        <w:t xml:space="preserve">Zitiervorschlag: § 11 VO-ID212599 (Brandenburg)</w:t>
      </w:r>
    </w:p>
    <w:p>
      <w:r>
        <w:rPr>
          <w:color w:val="555555"/>
          <w:sz w:val="17"/>
        </w:rPr>
        <w:t xml:space="preserve">Quelle: bravors, abgerufen 01.09.2026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https://recht.nulegal.eu/gesetze/VO-ID212599/11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