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VO-ID212598 (Brandenburg) — Inkrafttreten, Außerkrafttreten</w:t>
      </w:r>
    </w:p>
    <w:p>
      <w:r>
        <w:rPr>
          <w:color w:val="555555"/>
          <w:sz w:val="18"/>
        </w:rPr>
        <w:t xml:space="preserve">Verordnung zur Festsetzung des Wasserschutzgebietes Schönow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mit Wirkung vom 20. Dezember 2011 in Kraft. Gleichzeitig treten die Verordnung zur Festsetzung des Wasserschutzgebietes Schönow vom 25. Oktober 2011 (GVBl. II Nr. 76) und das mit Beschluss Nummer 145-27/83 vom 2. November 1983 des Kreistages Bernau festgesetzte Trinkwasserschutzgebiet Schönow außer Kraft.</w:t>
      </w:r>
    </w:p>
    <w:p>
      <w:r>
        <w:t xml:space="preserve">Potsdam, den 25. Oktober 2012</w:t>
      </w:r>
    </w:p>
    <w:p>
      <w:r>
        <w:t xml:space="preserve">Die Ministerin für Umwelt,</w:t>
      </w:r>
    </w:p>
    <w:p>
      <w:r>
        <w:t xml:space="preserve">Gesundheit und Verbraucherschutz</w:t>
      </w:r>
    </w:p>
    <w:p>
      <w:r>
        <w:t xml:space="preserve">Anita Tack</w:t>
      </w:r>
    </w:p>
    <w:p>
      <w:r>
        <w:t xml:space="preserve">Anlagen</w:t>
      </w:r>
    </w:p>
    <w:p>
      <w:r>
        <w:t xml:space="preserve">1</w:t>
      </w:r>
    </w:p>
    <w:p>
      <w:r>
        <w:t xml:space="preserve">WSGSchönow-Anlg-1 116.8 KB</w:t>
      </w:r>
    </w:p>
    <w:p>
      <w:r>
        <w:t xml:space="preserve">2</w:t>
      </w:r>
    </w:p>
    <w:p>
      <w:r>
        <w:t xml:space="preserve">WSGSchönow-Anlg-2 853.4 KB</w:t>
      </w:r>
    </w:p>
    <w:p>
      <w:r>
        <w:t xml:space="preserve">3</w:t>
      </w:r>
    </w:p>
    <w:p>
      <w:r>
        <w:t xml:space="preserve">WSGSchönow-Anlg-3 3.7 MB</w:t>
      </w:r>
    </w:p>
    <w:p>
      <w:r>
        <w:t xml:space="preserve">4</w:t>
      </w:r>
    </w:p>
    <w:p>
      <w:r>
        <w:t xml:space="preserve">WSGSchönow-Anlg-4-Blatt-01 1.7 MB</w:t>
      </w:r>
    </w:p>
    <w:p>
      <w:r>
        <w:t xml:space="preserve">5</w:t>
      </w:r>
    </w:p>
    <w:p>
      <w:r>
        <w:t xml:space="preserve">WSGSchönow-Anlg-4-Blatt-02 2.1 MB</w:t>
      </w:r>
    </w:p>
    <w:p>
      <w:r>
        <w:t xml:space="preserve">6</w:t>
      </w:r>
    </w:p>
    <w:p>
      <w:r>
        <w:t xml:space="preserve">WSGSchönow-Anlg-4-Blatt-03 2.8 MB</w:t>
      </w:r>
    </w:p>
    <w:p>
      <w:r>
        <w:t xml:space="preserve">7</w:t>
      </w:r>
    </w:p>
    <w:p>
      <w:r>
        <w:t xml:space="preserve">WSGSchönow-Anlg-4-Blatt-04 3.5 MB</w:t>
      </w:r>
    </w:p>
    <w:p>
      <w:r>
        <w:t xml:space="preserve">8</w:t>
      </w:r>
    </w:p>
    <w:p>
      <w:r>
        <w:t xml:space="preserve">WSGSchönow-Anlg-4-Blatt-05 5.2 MB</w:t>
      </w:r>
    </w:p>
    <w:p>
      <w:r>
        <w:t xml:space="preserve">9</w:t>
      </w:r>
    </w:p>
    <w:p>
      <w:r>
        <w:t xml:space="preserve">WSGSchönow-Anlg-4-Blatt-06 3.8 MB</w:t>
      </w:r>
    </w:p>
    <w:p>
      <w:r>
        <w:t xml:space="preserve">10</w:t>
      </w:r>
    </w:p>
    <w:p>
      <w:r>
        <w:t xml:space="preserve">WSGSchönow-Anlg-4-Blatt-07 4.1 MB</w:t>
      </w:r>
    </w:p>
    <w:p>
      <w:r>
        <w:t xml:space="preserve">11</w:t>
      </w:r>
    </w:p>
    <w:p>
      <w:r>
        <w:t xml:space="preserve">WSGSchönow-Anlg-4-Blatt-08 3.7 MB</w:t>
      </w:r>
    </w:p>
    <w:p>
      <w:r>
        <w:rPr>
          <w:color w:val="555555"/>
          <w:sz w:val="17"/>
        </w:rPr>
        <w:t xml:space="preserve">Zitiervorschlag: § 11 VO-ID212598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https://recht.nulegal.eu/gesetze/VO-ID212598/11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