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VO-ID212558 (Brandenburg) — Geschäftsbereiche, Beteiligung</w:t>
      </w:r>
    </w:p>
    <w:p>
      <w:r>
        <w:rPr>
          <w:color w:val="555555"/>
          <w:sz w:val="18"/>
        </w:rPr>
        <w:t xml:space="preserve">Geschäftsordnung der Landesregierung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Geschäftsbereiche der Ministerien werden durch den Ministerpräsidenten festgelegt.</w:t>
      </w:r>
    </w:p>
    <w:p>
      <w:r>
        <w:t xml:space="preserve">(2) Bei allen Kabinettvorlagen und Vorlagen an den Landtag ist unbeschadet der Zuständigkeitsregelungen das Ressort des stellvertretenden Ministerpräsidenten frühzeitig und umfassend zu beteiligen.</w:t>
      </w:r>
    </w:p>
    <w:p>
      <w:r>
        <w:t xml:space="preserve">(3) Berühren Angelegenheiten, insbesondere Kabinettvorlagen, den Geschäftsbereich mehrerer Minister, hat der federführende Minister die anderen Minister frühzeitig und umfassend zu beteiligen.</w:t>
      </w:r>
    </w:p>
    <w:p>
      <w:r>
        <w:rPr>
          <w:color w:val="555555"/>
          <w:sz w:val="17"/>
        </w:rPr>
        <w:t xml:space="preserve">Zitiervorschlag: § 9 VO-ID212558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https://recht.nulegal.eu/gesetze/VO-ID212558/9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