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VO-ID212558 (Brandenburg) — Eigenverantwortlichkeit der Minister</w:t>
      </w:r>
    </w:p>
    <w:p>
      <w:r>
        <w:rPr>
          <w:color w:val="555555"/>
          <w:sz w:val="18"/>
        </w:rPr>
        <w:t xml:space="preserve">Geschäftsordnung der Landesregierung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Minister leiten ihren Geschäftsbereich selbständig nach den vom Ministerpräsidenten festgelegten Richtlinien der Regierungspolitik.</w:t>
      </w:r>
    </w:p>
    <w:p>
      <w:r>
        <w:rPr>
          <w:color w:val="555555"/>
          <w:sz w:val="17"/>
        </w:rPr>
        <w:t xml:space="preserve">Zitiervorschlag: § 8 VO-ID212558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