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VO-ID212558 (Brandenburg) — Übertragung von Rechten des Ministerpräsidenten</w:t>
      </w:r>
    </w:p>
    <w:p>
      <w:r>
        <w:rPr>
          <w:color w:val="555555"/>
          <w:sz w:val="18"/>
        </w:rPr>
        <w:t xml:space="preserve">Geschäftsordnung der Landesregierung Brandenburg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Der Ministerpräsident bestimmt, in welchem Umfang er das Recht</w:t>
      </w:r>
    </w:p>
    <w:p>
      <w:r>
        <w:t xml:space="preserve">das Land nach außen zu vertreten (Artikel 91 Abs. 1 der Verfassung des Landes Brandenburg),</w:t>
      </w:r>
    </w:p>
    <w:p>
      <w:r>
        <w:t xml:space="preserve">zu begnadigen (Artikel 92 der Verfassung des Landes Brandenburg)</w:t>
      </w:r>
    </w:p>
    <w:p>
      <w:r>
        <w:t xml:space="preserve">auf die Minister oder weiter überträgt.</w:t>
      </w:r>
    </w:p>
    <w:p>
      <w:r>
        <w:rPr>
          <w:color w:val="555555"/>
          <w:sz w:val="17"/>
        </w:rPr>
        <w:t xml:space="preserve">Zitiervorschlag: § 6 VO-ID212558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https://recht.nulegal.eu/gesetze/VO-ID212558/6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