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 VO-ID212558 (Brandenburg) — Staatskanzlei</w:t>
      </w:r>
    </w:p>
    <w:p>
      <w:r>
        <w:rPr>
          <w:color w:val="555555"/>
          <w:sz w:val="18"/>
        </w:rPr>
        <w:t xml:space="preserve">Geschäftsordnung der Landesregierung Brandenburg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Der Ministerpräsident bedient sich der Staatskanzlei zur Erfüllung seiner Aufgaben und zur Leitung der Geschäfte der Landesregierung.</w:t>
      </w:r>
    </w:p>
    <w:p>
      <w:r>
        <w:t xml:space="preserve">(2) Der Chef der Staatskanzlei leitet die Staatskanzlei nach den Weisungen des Ministerpräsidenten. Er nimmt an den Sitzungen der Landesregierung mit beratender Stimme teil.</w:t>
      </w:r>
    </w:p>
    <w:p>
      <w:r>
        <w:t xml:space="preserve">(3) Die Finanzplanung wird auf der Grundlage einer laufenden, wechselseitigen und engen Abstimmung mit der Landesregierung zwischen dem Minister der Finanzen und dem Ministerpräsidenten erstellt.</w:t>
      </w:r>
    </w:p>
    <w:p>
      <w:r>
        <w:t xml:space="preserve">(4) Der Regierungssprecher koordiniert die Presse- und Öffentlichkeitsarbeit der Landesregierung.</w:t>
      </w:r>
    </w:p>
    <w:p>
      <w:r>
        <w:rPr>
          <w:color w:val="555555"/>
          <w:sz w:val="17"/>
        </w:rPr>
        <w:t xml:space="preserve">Zitiervorschlag: § 4 VO-ID212558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https://recht.nulegal.eu/gesetze/VO-ID212558/4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