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VO-ID212558 (Brandenburg) — In-Kraft-Treten, Außer-Kraft-Treten</w:t>
      </w:r>
    </w:p>
    <w:p>
      <w:r>
        <w:rPr>
          <w:color w:val="555555"/>
          <w:sz w:val="18"/>
        </w:rPr>
        <w:t xml:space="preserve">Geschäftsordnung der Landesregierung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Geschäftsordnung tritt am 4. Juli 2000 in Kraft. Gleichzeitig tritt die Vorläufige Geschäftsordnung der Landesregierung Brandenburg vom 3. Dezember 1990 (GVBl. 1991 S. 2) außer Kraft.</w:t>
      </w:r>
    </w:p>
    <w:p>
      <w:r>
        <w:t xml:space="preserve">Potsdam, den 14. Juli 2000</w:t>
      </w:r>
    </w:p>
    <w:p>
      <w:r>
        <w:t xml:space="preserve">Der Ministerpräsident</w:t>
      </w:r>
    </w:p>
    <w:p>
      <w:r>
        <w:t xml:space="preserve">Manfred Stolpe</w:t>
      </w:r>
    </w:p>
    <w:p>
      <w:r>
        <w:rPr>
          <w:color w:val="555555"/>
          <w:sz w:val="17"/>
        </w:rPr>
        <w:t xml:space="preserve">Zitiervorschlag: § 28 VO-ID212558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https://recht.nulegal.eu/gesetze/VO-ID212558/28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