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VO-ID212558 (Brandenburg) — Auslegung der Geschäftsordnung</w:t>
      </w:r>
    </w:p>
    <w:p>
      <w:r>
        <w:rPr>
          <w:color w:val="555555"/>
          <w:sz w:val="18"/>
        </w:rPr>
        <w:t xml:space="preserve">Geschäftsordnung der Landesregierung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Bei Zweifeln über die Auslegung der Geschäftsordnung entscheidet der Ministerpräsident im Einvernehmen mit dem Minister des Innern.</w:t>
      </w:r>
    </w:p>
    <w:p>
      <w:r>
        <w:rPr>
          <w:color w:val="555555"/>
          <w:sz w:val="17"/>
        </w:rPr>
        <w:t xml:space="preserve">Zitiervorschlag: § 26 VO-ID212558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https://recht.nulegal.eu/gesetze/VO-ID212558/26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