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VO-ID212558 (Brandenburg) — Vertraulicher Charakter der Beratungen</w:t>
      </w:r>
    </w:p>
    <w:p>
      <w:r>
        <w:rPr>
          <w:color w:val="555555"/>
          <w:sz w:val="18"/>
        </w:rPr>
        <w:t xml:space="preserve">Geschäftsordnung der Landesregierung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Beratungen der Landesregierung sind vertraulich. Insbesondere sind Mitteilungen über Ausführungen einzelner Minister, über das Stimmenverhältnis und über den Inhalt der Sitzungsniederschrift ohne besondere Ermächtigung des Ministerpräsidenten unzulässig.</w:t>
      </w:r>
    </w:p>
    <w:p>
      <w:r>
        <w:rPr>
          <w:color w:val="555555"/>
          <w:sz w:val="17"/>
        </w:rPr>
        <w:t xml:space="preserve">Zitiervorschlag: § 22 VO-ID212558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https://recht.nulegal.eu/gesetze/VO-ID212558/22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