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 VO-ID212558 (Brandenburg) — Leitung der Geschäfte der Landesregierung</w:t>
      </w:r>
    </w:p>
    <w:p>
      <w:r>
        <w:rPr>
          <w:color w:val="555555"/>
          <w:sz w:val="18"/>
        </w:rPr>
        <w:t xml:space="preserve">Geschäftsordnung der Landesregierung Brandenburg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(1) Der Ministerpräsident führt den Vorsitz in der Landesregierung und leitet nach den in Abschnitt III (Die Landesregierung) enthaltenen Bestimmungen ihre Geschäfte.</w:t>
      </w:r>
    </w:p>
    <w:p>
      <w:r>
        <w:t xml:space="preserve">(2) Der Ministerpräsident bringt Gesetzesvorlagen der Landesregierung in den Landtag ein.</w:t>
      </w:r>
    </w:p>
    <w:p>
      <w:r>
        <w:rPr>
          <w:color w:val="555555"/>
          <w:sz w:val="17"/>
        </w:rPr>
        <w:t xml:space="preserve">Zitiervorschlag: § 2 VO-ID212558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https://recht.nulegal.eu/gesetze/VO-ID212558/2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