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VO-ID212558 (Brandenburg) — Abstimmung</w:t>
      </w:r>
    </w:p>
    <w:p>
      <w:r>
        <w:rPr>
          <w:color w:val="555555"/>
          <w:sz w:val="18"/>
        </w:rPr>
        <w:t xml:space="preserve">Geschäftsordnung der Landesregierung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Bei der Beschlussfassung entscheidet die Mehrheit der Stimmen. Bei Stimmengleichheit gibt die Stimme des Ministerpräsidenten den Ausschlag.</w:t>
      </w:r>
    </w:p>
    <w:p>
      <w:r>
        <w:t xml:space="preserve">(2) Die Mitglieder der Landesregierung können sich nicht der Stimme enthalten. Beteiligt sich ein anwesendes Mitglied nicht an der Abstimmung, so gilt seine Stimme als gegen den Antrag abgegeben.</w:t>
      </w:r>
    </w:p>
    <w:p>
      <w:r>
        <w:rPr>
          <w:color w:val="555555"/>
          <w:sz w:val="17"/>
        </w:rPr>
        <w:t xml:space="preserve">Zitiervorschlag: § 19 VO-ID212558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https://recht.nulegal.eu/gesetze/VO-ID212558/19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VO-ID212558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