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VO-ID212558 (Brandenburg) — Beschlussfähigkeit</w:t>
      </w:r>
    </w:p>
    <w:p>
      <w:r>
        <w:rPr>
          <w:color w:val="555555"/>
          <w:sz w:val="18"/>
        </w:rPr>
        <w:t xml:space="preserve">Geschäftsordnung der Landesregierung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Minister kann sich in der Landesregierung durch einen anderen Minister vertreten und durch diesen seine Stimme abgeben lassen. Die Landesregierung ist beschlussfähig, wenn mindestens die Hälfte der Mitglieder anwesend ist.</w:t>
      </w:r>
    </w:p>
    <w:p>
      <w:r>
        <w:t xml:space="preserve">(2) Ist der federführende Minister oder sein Vertreter (§ 10 Abs. 3 Satz 3) nicht anwesend, so darf über Gegenstände seines Geschäftsbereichs nicht beraten und beschlossen werden.</w:t>
      </w:r>
    </w:p>
    <w:p>
      <w:r>
        <w:rPr>
          <w:color w:val="555555"/>
          <w:sz w:val="17"/>
        </w:rPr>
        <w:t xml:space="preserve">Zitiervorschlag: § 18 VO-ID212558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https://recht.nulegal.eu/gesetze/VO-ID212558/18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