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VO-ID212558 (Brandenburg) — Vorherige Beratung</w:t>
      </w:r>
    </w:p>
    <w:p>
      <w:r>
        <w:rPr>
          <w:color w:val="555555"/>
          <w:sz w:val="18"/>
        </w:rPr>
        <w:t xml:space="preserve">Geschäftsordnung der Landesregierung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Angelegenheiten, die den Geschäftsbereich mehrerer Minister berühren, sind vor ihrer Beratung durch die Landesregierung zwischen dem federführenden und den beteiligten Ressorts und der Staatskanzlei abzustimmen.</w:t>
      </w:r>
    </w:p>
    <w:p>
      <w:r>
        <w:t xml:space="preserve">(2) Meinungsverschiedenheiten, die den Geschäftsbereich mehrerer Minister berühren, werden der Landesregierung erst dann zur Beratung und Beschlussfassung vorgelegt, wenn ein persönlicher Verständigungsversuch ihrer Vertreter ohne Erfolg geblieben ist.</w:t>
      </w:r>
    </w:p>
    <w:p>
      <w:r>
        <w:rPr>
          <w:color w:val="555555"/>
          <w:sz w:val="17"/>
        </w:rPr>
        <w:t xml:space="preserve">Zitiervorschlag: § 13 VO-ID212558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https://recht.nulegal.eu/gesetze/VO-ID212558/13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