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VO-ID212550 (Brandenburg) — Schutzzweck</w:t>
      </w:r>
    </w:p>
    <w:p>
      <w:r>
        <w:rPr>
          <w:color w:val="555555"/>
          <w:sz w:val="18"/>
        </w:rPr>
        <w:t xml:space="preserve">Verordnung über das Naturschutzgebiet „Neudorfer 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</w:t>
      </w:r>
    </w:p>
    <w:p>
      <w:r>
        <w:t xml:space="preserve">Naturschutzgebietes ist</w:t>
      </w:r>
    </w:p>
    <w:p>
      <w:r>
        <w:t xml:space="preserve">die Erhaltung und</w:t>
      </w:r>
    </w:p>
    <w:p>
      <w:r>
        <w:t xml:space="preserve">Entwicklung der Lebensstätten wild lebender Pflanzengesellschaften, insbesondere</w:t>
      </w:r>
    </w:p>
    <w:p>
      <w:r>
        <w:t xml:space="preserve">natur-naher Wälder mit an die potenziell natürliche Vegetation angepassten</w:t>
      </w:r>
    </w:p>
    <w:p>
      <w:r>
        <w:t xml:space="preserve">Beständen wie Eichen-Hainbuchenwälder, Hainsimsen-Buchenwälder,</w:t>
      </w:r>
    </w:p>
    <w:p>
      <w:r>
        <w:t xml:space="preserve">Eichenmischwälder bodensaurer Standorte und Waldmeister-Buchenwälder sowie reich</w:t>
      </w:r>
    </w:p>
    <w:p>
      <w:r>
        <w:t xml:space="preserve">strukturierter Waldränder;</w:t>
      </w:r>
    </w:p>
    <w:p>
      <w:r>
        <w:t xml:space="preserve">die Erhaltung und</w:t>
      </w:r>
    </w:p>
    <w:p>
      <w:r>
        <w:t xml:space="preserve">Entwicklung des Gebietes als Lebens- und Rückzugsraum sowie potenzielles</w:t>
      </w:r>
    </w:p>
    <w:p>
      <w:r>
        <w:t xml:space="preserve">Wiederausbreitungszentrum wild lebender Tierarten, insbesondere der Fledermäuse</w:t>
      </w:r>
    </w:p>
    <w:p>
      <w:r>
        <w:t xml:space="preserve">und Vögel, darunter im Sinne von § 7 Absatz 2 Nummer 13 und 14 des</w:t>
      </w:r>
    </w:p>
    <w:p>
      <w:r>
        <w:t xml:space="preserve">Bundesnaturschutzgesetzes besonders und streng geschützte Arten;</w:t>
      </w:r>
    </w:p>
    <w:p>
      <w:r>
        <w:t xml:space="preserve">die Erhaltung und</w:t>
      </w:r>
    </w:p>
    <w:p>
      <w:r>
        <w:t xml:space="preserve">Entwicklung der besonderen Eigenart des Gebietes mit einem Mosaik aus reich</w:t>
      </w:r>
    </w:p>
    <w:p>
      <w:r>
        <w:t xml:space="preserve">strukturierten Waldflächen mit hohem Anteil an Altholz, alten Einzelbäumen,</w:t>
      </w:r>
    </w:p>
    <w:p>
      <w:r>
        <w:t xml:space="preserve">stehendem und liegendem Totholz sowie an Höhlenbäumen;</w:t>
      </w:r>
    </w:p>
    <w:p>
      <w:r>
        <w:t xml:space="preserve">die Erhaltung und</w:t>
      </w:r>
    </w:p>
    <w:p>
      <w:r>
        <w:t xml:space="preserve">Entwicklung des Gebietes als wesentlicher Teil des regionalen Biotopverbundes</w:t>
      </w:r>
    </w:p>
    <w:p>
      <w:r>
        <w:t xml:space="preserve">zwischen den Niederungen der Kümmernitz und der Dömnitz.</w:t>
      </w:r>
    </w:p>
    <w:p>
      <w:r>
        <w:t xml:space="preserve">(2) Die</w:t>
      </w:r>
    </w:p>
    <w:p>
      <w:r>
        <w:t xml:space="preserve">Unterschutzstellung dient der Erhaltung und Entwicklung eines Teiles des</w:t>
      </w:r>
    </w:p>
    <w:p>
      <w:r>
        <w:t xml:space="preserve">Europäischen Vogelschutzgebietes „Agrarlandschaft Prignitz-Stepenitz“ (§ 7</w:t>
      </w:r>
    </w:p>
    <w:p>
      <w:r>
        <w:t xml:space="preserve">Absatz 1 Nummer 7 des Bundesnaturschutzgesetzes) in seiner Funktion als</w:t>
      </w:r>
    </w:p>
    <w:p>
      <w:r>
        <w:t xml:space="preserve">Lebensraum von Arten nach Anhang I der Richtlinie 2009/147/EG, insbesondere</w:t>
      </w:r>
    </w:p>
    <w:p>
      <w:r>
        <w:t xml:space="preserve">Mittelspecht (Dendrocopus medius), Schwarzspecht (Dryocopus martius),</w:t>
      </w:r>
    </w:p>
    <w:p>
      <w:r>
        <w:t xml:space="preserve">Schwarzstorch (Ciconia nigra) und Wespenbussard (Pernis apivorus) einschließlich</w:t>
      </w:r>
    </w:p>
    <w:p>
      <w:r>
        <w:t xml:space="preserve">ihrer Brut- und Nahrungsbiotope.</w:t>
      </w:r>
    </w:p>
    <w:p>
      <w:r>
        <w:rPr>
          <w:color w:val="555555"/>
          <w:sz w:val="17"/>
        </w:rPr>
        <w:t xml:space="preserve">Zitiervorschlag: § 3 VO-ID212550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https://recht.nulegal.eu/gesetze/VO-ID212550/3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