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VO-ID212549 (Brandenburg) — Ordnungswidrigkeiten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</w:t>
      </w:r>
    </w:p>
    <w:p>
      <w:r>
        <w:t xml:space="preserve">Sinne des § 73 Absatz 2 Nummer 2 des Brandenburgischen Naturschutzgesetzes</w:t>
      </w:r>
    </w:p>
    <w:p>
      <w:r>
        <w:t xml:space="preserve">handelt, wer vorsätzlich oder fahrlässig den Verboten des § 4 oder den Maßgaben</w:t>
      </w:r>
    </w:p>
    <w:p>
      <w:r>
        <w:t xml:space="preserve">des § 5 zuwiderhandelt.</w:t>
      </w:r>
    </w:p>
    <w:p>
      <w:r>
        <w:t xml:space="preserve">(2) Ordnungswidrigkeiten</w:t>
      </w:r>
    </w:p>
    <w:p>
      <w:r>
        <w:t xml:space="preserve">nach Absatz 1 können gemäß § 74 des Brandenburgischen Naturschutzgesetzes mit</w:t>
      </w:r>
    </w:p>
    <w:p>
      <w:r>
        <w:t xml:space="preserve">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