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VO-ID212549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</w:t>
      </w:r>
    </w:p>
    <w:p>
      <w:r>
        <w:t xml:space="preserve">Entwicklungsmaßnahmen werden als Zielvorgabe benannt:</w:t>
      </w:r>
    </w:p>
    <w:p>
      <w:r>
        <w:t xml:space="preserve">die Offenflächen im</w:t>
      </w:r>
    </w:p>
    <w:p>
      <w:r>
        <w:t xml:space="preserve">zentralen, von Hecken umschlossenen Bereich der Zone 1a sollen durch einschürige</w:t>
      </w:r>
    </w:p>
    <w:p>
      <w:r>
        <w:t xml:space="preserve">Mahd gepflegt werden;</w:t>
      </w:r>
    </w:p>
    <w:p>
      <w:r>
        <w:t xml:space="preserve">Hecken und Baumreihen</w:t>
      </w:r>
    </w:p>
    <w:p>
      <w:r>
        <w:t xml:space="preserve">sollen durch Nachpflanzungen und Lückenschließungen erhalten werden, wobei</w:t>
      </w:r>
    </w:p>
    <w:p>
      <w:r>
        <w:t xml:space="preserve">heimische, standortgerechte Gehölze verwendet werden sollen;</w:t>
      </w:r>
    </w:p>
    <w:p>
      <w:r>
        <w:t xml:space="preserve">im Bereich des</w:t>
      </w:r>
    </w:p>
    <w:p>
      <w:r>
        <w:t xml:space="preserve">Kranich-Schlafplatzes in der Zone 1a soll die Wasserhaltung durch die Nutzung</w:t>
      </w:r>
    </w:p>
    <w:p>
      <w:r>
        <w:t xml:space="preserve">vorhandener Regulierungseinrichtungen so durchgeführt werden, dass sich ab dem</w:t>
      </w:r>
    </w:p>
    <w:p>
      <w:r>
        <w:t xml:space="preserve">1. November eines jeden Jahres bis zum 30. April des Folgejahres oberflächennahe</w:t>
      </w:r>
    </w:p>
    <w:p>
      <w:r>
        <w:t xml:space="preserve">Grundwasserstände mit Blänkenbildung einstellen können;</w:t>
      </w:r>
    </w:p>
    <w:p>
      <w:r>
        <w:t xml:space="preserve">naturferne Abschnitte</w:t>
      </w:r>
    </w:p>
    <w:p>
      <w:r>
        <w:t xml:space="preserve">des Laasker Vorfluters sollen renaturiert werden, beispielsweise durch Förderung</w:t>
      </w:r>
    </w:p>
    <w:p>
      <w:r>
        <w:t xml:space="preserve">der natürlichen Gewässerdynamik.</w:t>
      </w:r>
    </w:p>
    <w:p>
      <w:r>
        <w:rPr>
          <w:color w:val="555555"/>
          <w:sz w:val="17"/>
        </w:rPr>
        <w:t xml:space="preserve">Zitiervorschlag: § 6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