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VO-ID212549 (Brandenburg) — Schutzzweck</w:t>
      </w:r>
    </w:p>
    <w:p>
      <w:r>
        <w:rPr>
          <w:color w:val="555555"/>
          <w:sz w:val="18"/>
        </w:rPr>
        <w:t xml:space="preserve">Verordnung über das Naturschutzgebiet „Jakobsdorfer Feuchtland“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Schutzzweck des</w:t>
      </w:r>
    </w:p>
    <w:p>
      <w:r>
        <w:t xml:space="preserve">Naturschutzgebietes ist</w:t>
      </w:r>
    </w:p>
    <w:p>
      <w:r>
        <w:t xml:space="preserve">die Erhaltung und</w:t>
      </w:r>
    </w:p>
    <w:p>
      <w:r>
        <w:t xml:space="preserve">Entwicklung der Lebensräume wild lebender Pflanzengesellschaften, insbesondere</w:t>
      </w:r>
    </w:p>
    <w:p>
      <w:r>
        <w:t xml:space="preserve">verschiedenartiger naturnaher Kleingewässer mit ausgedehnten Verlandungszonen,</w:t>
      </w:r>
    </w:p>
    <w:p>
      <w:r>
        <w:t xml:space="preserve">arten- und blütenreicher, extensiv genutzter Frisch- und Feuchtwiesen,</w:t>
      </w:r>
    </w:p>
    <w:p>
      <w:r>
        <w:t xml:space="preserve">strukturreicher, teilweise mit Bäumen überschirmter Hecken sowie Baumreihen;</w:t>
      </w:r>
    </w:p>
    <w:p>
      <w:r>
        <w:t xml:space="preserve">die Erhaltung und</w:t>
      </w:r>
    </w:p>
    <w:p>
      <w:r>
        <w:t xml:space="preserve">Entwicklung der Lebensräume wild lebender Pflanzenarten, darunter im Sinne von</w:t>
      </w:r>
    </w:p>
    <w:p>
      <w:r>
        <w:t xml:space="preserve">§ 7 Absatz 2 Nummer 13 und 14 des Bundesnaturschutzgesetzes besonders und streng</w:t>
      </w:r>
    </w:p>
    <w:p>
      <w:r>
        <w:t xml:space="preserve">geschützte Arten;</w:t>
      </w:r>
    </w:p>
    <w:p>
      <w:r>
        <w:t xml:space="preserve">die Erhaltung und</w:t>
      </w:r>
    </w:p>
    <w:p>
      <w:r>
        <w:t xml:space="preserve">Entwicklung des Gebietes als Lebens- und Rückzugsraum sowie potenzielles</w:t>
      </w:r>
    </w:p>
    <w:p>
      <w:r>
        <w:t xml:space="preserve">Wiederausbreitungszentrum wild lebender Tierarten, insbesondere der Vögel,</w:t>
      </w:r>
    </w:p>
    <w:p>
      <w:r>
        <w:t xml:space="preserve">Amphibien und Insekten, darunter im Sinne von § 7 Absatz 2 Nummer 13 und 14 des</w:t>
      </w:r>
    </w:p>
    <w:p>
      <w:r>
        <w:t xml:space="preserve">Bundesnaturschutzgesetzes besonders und streng geschützte Arten, insbesondere</w:t>
      </w:r>
    </w:p>
    <w:p>
      <w:r>
        <w:t xml:space="preserve">Braunkehlchen (Saxicola rubetra), Kiebitz (Vanellus vanellus), Rebhuhn (Perdix</w:t>
      </w:r>
    </w:p>
    <w:p>
      <w:r>
        <w:t xml:space="preserve">perdix), Moorfrosch (Rana arvalis), Laubfrosch (Hyla arborea), Fischotter (Lutra</w:t>
      </w:r>
    </w:p>
    <w:p>
      <w:r>
        <w:t xml:space="preserve">lutra), Prächtiger Bläuling (Polyomatus amandus), Schachbrett-Falter (Melanargia</w:t>
      </w:r>
    </w:p>
    <w:p>
      <w:r>
        <w:t xml:space="preserve">galathea), Große Pechlibelle (Isch­nura elegans), Kleine Pechlibelle (Ischnura</w:t>
      </w:r>
    </w:p>
    <w:p>
      <w:r>
        <w:t xml:space="preserve">pumilio), Kleines Granatauge (Erythromma viridulum), Schwarze Heidelibelle</w:t>
      </w:r>
    </w:p>
    <w:p>
      <w:r>
        <w:t xml:space="preserve">(Sympetrum danae), Fledermaus-Azurjungfer (Coenagrion pulchellum) und</w:t>
      </w:r>
    </w:p>
    <w:p>
      <w:r>
        <w:t xml:space="preserve">Speer-Azurjungfer (Coenagrion hastulatum);</w:t>
      </w:r>
    </w:p>
    <w:p>
      <w:r>
        <w:t xml:space="preserve">die Erhaltung und</w:t>
      </w:r>
    </w:p>
    <w:p>
      <w:r>
        <w:t xml:space="preserve">Entwicklung des zentralen Feuchtgebietes mit seinen naturnahen Gewässern wegen</w:t>
      </w:r>
    </w:p>
    <w:p>
      <w:r>
        <w:t xml:space="preserve">seiner regionalen Bedeutung als Schlaf- und Rastplatz der Kraniche;</w:t>
      </w:r>
    </w:p>
    <w:p>
      <w:r>
        <w:t xml:space="preserve">die Erhaltung und</w:t>
      </w:r>
    </w:p>
    <w:p>
      <w:r>
        <w:t xml:space="preserve">Entwicklung einer strukturreichen Agrarlandschaft mit einem hohen Anteil an</w:t>
      </w:r>
    </w:p>
    <w:p>
      <w:r>
        <w:t xml:space="preserve">Strukturelementen wie Hecken, Baumreihen, Söllen, Gräben und Randstreifen wegen</w:t>
      </w:r>
    </w:p>
    <w:p>
      <w:r>
        <w:t xml:space="preserve">ihrer Vielfalt;</w:t>
      </w:r>
    </w:p>
    <w:p>
      <w:r>
        <w:t xml:space="preserve">die Erhaltung und</w:t>
      </w:r>
    </w:p>
    <w:p>
      <w:r>
        <w:t xml:space="preserve">Entwicklung des Gebietes als wesentlicher Bestandteil des regionalen</w:t>
      </w:r>
    </w:p>
    <w:p>
      <w:r>
        <w:t xml:space="preserve">Biotopverbundes zwischen der Kümmernitzniederung und dem Gewässersystem der</w:t>
      </w:r>
    </w:p>
    <w:p>
      <w:r>
        <w:t xml:space="preserve">Stepenitz.</w:t>
      </w:r>
    </w:p>
    <w:p>
      <w:r>
        <w:t xml:space="preserve">(2) Die</w:t>
      </w:r>
    </w:p>
    <w:p>
      <w:r>
        <w:t xml:space="preserve">Unterschutzstellung dient der Erhaltung und Entwicklung eines Teiles des</w:t>
      </w:r>
    </w:p>
    <w:p>
      <w:r>
        <w:t xml:space="preserve">Europäischen Vogelschutzgebietes „Agrarlandschaft Prignitz-Stepenitz“ (§ 7</w:t>
      </w:r>
    </w:p>
    <w:p>
      <w:r>
        <w:t xml:space="preserve">Absatz 1 Nummer 7 des Bundesnaturschutzgesetzes) in seiner Funktion</w:t>
      </w:r>
    </w:p>
    <w:p>
      <w:r>
        <w:t xml:space="preserve">als Lebensraum von</w:t>
      </w:r>
    </w:p>
    <w:p>
      <w:r>
        <w:t xml:space="preserve">Arten nach Anhang I der Richtlinie 2009/147/EG, insbesondere Schwarzspecht</w:t>
      </w:r>
    </w:p>
    <w:p>
      <w:r>
        <w:t xml:space="preserve">(Dryocopus martius), Kranich (Grus grus), Rotmilan (Milvus milvus) und</w:t>
      </w:r>
    </w:p>
    <w:p>
      <w:r>
        <w:t xml:space="preserve">Schwarzstorch (Ciconia nigra) einschließlich ihrer Brut- und Nahrungsbiotope,</w:t>
      </w:r>
    </w:p>
    <w:p>
      <w:r>
        <w:t xml:space="preserve">als störungsarmes</w:t>
      </w:r>
    </w:p>
    <w:p>
      <w:r>
        <w:t xml:space="preserve">Rast- und Überwinterungsgebiet für im Gebiet regelmäßig auftretende</w:t>
      </w:r>
    </w:p>
    <w:p>
      <w:r>
        <w:t xml:space="preserve">Zugvogelarten wie Kiebitz (Vanellus vanellus), Kranich (Grus grus) und nordische</w:t>
      </w:r>
    </w:p>
    <w:p>
      <w:r>
        <w:t xml:space="preserve">Gänse.</w:t>
      </w:r>
    </w:p>
    <w:p>
      <w:r>
        <w:rPr>
          <w:color w:val="555555"/>
          <w:sz w:val="17"/>
        </w:rPr>
        <w:t xml:space="preserve">Zitiervorschlag: § 3 VO-ID212549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https://recht.nulegal.eu/gesetze/VO-ID212549/3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