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VO-ID212548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</w:t>
      </w:r>
    </w:p>
    <w:p>
      <w:r>
        <w:t xml:space="preserve">Entwicklungsmaßnahmen werden als Zielvorgabe benannt:</w:t>
      </w:r>
    </w:p>
    <w:p>
      <w:r>
        <w:t xml:space="preserve">durch eine am Schutzzweck orientierte</w:t>
      </w:r>
    </w:p>
    <w:p>
      <w:r>
        <w:t xml:space="preserve">Wasserrückhaltung soll die Wasserversorgung des zentralen Gewässers und der</w:t>
      </w:r>
    </w:p>
    <w:p>
      <w:r>
        <w:t xml:space="preserve">umliegenden Großseggenriede und Röhrichte verbessert werden;</w:t>
      </w:r>
    </w:p>
    <w:p>
      <w:r>
        <w:t xml:space="preserve">zum Schutz der Waldränder soll ein</w:t>
      </w:r>
    </w:p>
    <w:p>
      <w:r>
        <w:t xml:space="preserve">Schutzstreifen als Puffer zur Ackerfläche aus der Nutzung genommen werden.</w:t>
      </w:r>
    </w:p>
    <w:p>
      <w:r>
        <w:rPr>
          <w:color w:val="555555"/>
          <w:sz w:val="17"/>
        </w:rPr>
        <w:t xml:space="preserve">Zitiervorschlag: § 6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