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VO-ID212540 (Brandenburg)</w:t>
      </w:r>
    </w:p>
    <w:p>
      <w:r>
        <w:rPr>
          <w:color w:val="555555"/>
          <w:sz w:val="18"/>
        </w:rPr>
        <w:t xml:space="preserve">Verordnung über die Zuständigkeiten nach der Handwerksordnung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Landkreise und kreisfreien Städte als Kreisordnungsbehörden sowie die Großen</w:t>
      </w:r>
    </w:p>
    <w:p>
      <w:r>
        <w:t xml:space="preserve">kreisangehörigen Städte Eberswalde, Eisenhüttenstadt und Schwedt/Oder als</w:t>
      </w:r>
    </w:p>
    <w:p>
      <w:r>
        <w:t xml:space="preserve">örtliche Ordnungsbehörden sind zuständige Behörde nach § 16 Absatz 3 Satz 1 und</w:t>
      </w:r>
    </w:p>
    <w:p>
      <w:r>
        <w:t xml:space="preserve">Absatz 8 sowie den §§ 117 und 118 der Handwerksordnung in der Fassung der</w:t>
      </w:r>
    </w:p>
    <w:p>
      <w:r>
        <w:t xml:space="preserve">Bekanntmachung vom 24. September 1998 (BGBl. I S. 3074; 2006 I S. 2095), die</w:t>
      </w:r>
    </w:p>
    <w:p>
      <w:r>
        <w:t xml:space="preserve">zuletzt durch Artikel 2 des Gesetzes vom 17. Juli 2009 (BGBl. I S. 2091, 2094)</w:t>
      </w:r>
    </w:p>
    <w:p>
      <w:r>
        <w:t xml:space="preserve">geändert worden ist, in der jeweils geltenden Fassung.</w:t>
      </w:r>
    </w:p>
    <w:p>
      <w:r>
        <w:rPr>
          <w:color w:val="555555"/>
          <w:sz w:val="17"/>
        </w:rPr>
        <w:t xml:space="preserve">Zitiervorschlag: § 1 VO-ID212540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https://recht.nulegal.eu/gesetze/VO-ID212540/1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