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VO-ID212532 (Brandenburg)</w:t>
      </w:r>
    </w:p>
    <w:p>
      <w:r>
        <w:rPr>
          <w:color w:val="555555"/>
          <w:sz w:val="18"/>
        </w:rPr>
        <w:t xml:space="preserve">Verordnung zur Übertragung von Zuständigkeiten nach § 124b der Handwerksordnung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Staatsaufsicht im Sinne des § 115 Absatz 1 Satz 1 in Verbindung mit § 124b</w:t>
      </w:r>
    </w:p>
    <w:p>
      <w:r>
        <w:t xml:space="preserve">Satz 2 der Handwerksordnung führt das für Wirtschaft zuständige Ministerium.</w:t>
      </w:r>
    </w:p>
    <w:p>
      <w:r>
        <w:rPr>
          <w:color w:val="555555"/>
          <w:sz w:val="17"/>
        </w:rPr>
        <w:t xml:space="preserve">Zitiervorschlag: § 2 VO-ID212532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https://recht.nulegal.eu/gesetze/VO-ID212532/2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