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VO-ID212532 (Brandenburg)</w:t>
      </w:r>
    </w:p>
    <w:p>
      <w:r>
        <w:rPr>
          <w:color w:val="555555"/>
          <w:sz w:val="18"/>
        </w:rPr>
        <w:t xml:space="preserve">Verordnung zur Übertragung von Zuständigkeiten nach § 124b der Handwerksordnung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Zuständigkeiten nach den §§ 7a, 7b, 8 und 9 der Handwerksordnung in</w:t>
      </w:r>
    </w:p>
    <w:p>
      <w:r>
        <w:t xml:space="preserve">Verbindung mit der EU/EWR-Handwerk-Verordnung vom 20. Dezember 2007 (BGBl. I</w:t>
      </w:r>
    </w:p>
    <w:p>
      <w:r>
        <w:t xml:space="preserve">S. 3075) werden auf die Handwerkskammern übertragen.</w:t>
      </w:r>
    </w:p>
    <w:p>
      <w:r>
        <w:rPr>
          <w:color w:val="555555"/>
          <w:sz w:val="17"/>
        </w:rPr>
        <w:t xml:space="preserve">Zitiervorschlag: § 1 VO-ID212532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https://recht.nulegal.eu/gesetze/VO-ID212532/1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