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VO-ID212529 (Brandenburg) — Befreiungen</w:t>
      </w:r>
    </w:p>
    <w:p>
      <w:r>
        <w:rPr>
          <w:color w:val="555555"/>
          <w:sz w:val="18"/>
        </w:rPr>
        <w:t xml:space="preserve">Verordnung über das Naturschutzgebiet „Saugberge“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</w:t>
      </w:r>
    </w:p>
    <w:p>
      <w:r>
        <w:t xml:space="preserve">Verordnung kann die zuständige Naturschutzbehörde auf Antrag gemäß § 67 des</w:t>
      </w:r>
    </w:p>
    <w:p>
      <w:r>
        <w:t xml:space="preserve">Bundesnaturschutzgesetzes Befreiung gewähren.</w:t>
      </w:r>
    </w:p>
    <w:p>
      <w:r>
        <w:rPr>
          <w:color w:val="555555"/>
          <w:sz w:val="17"/>
        </w:rPr>
        <w:t xml:space="preserve">Zitiervorschlag: § 7 VO-ID212529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https://recht.nulegal.eu/gesetze/VO-ID212529/7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