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VO-ID212528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„Oderinsel Küstrin-Kietz“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Pflege-, Entwicklungs- und Wiederherstellungsmaßnahmen und zur Verwirklichung des Schutzzwecks erforderlich sind, richtet sich nach § 65 des Bundesnaturschutzgesetzes in Verbindung mit</w:t>
      </w:r>
    </w:p>
    <w:p>
      <w:r>
        <w:t xml:space="preserve">§ 68 des Brandenburgischen Naturschutzgesetzes.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 gehenden Vorschriften enthält, bleiben die Regelungen über gesetzlich geschützte Teile von Natur und Landschaft (insbesondere §§ 31 bis 33 und § 35 des Brandenburgischen Naturschutzgesetzes, § 30 des Bundesnaturschutzgesetzes) und über den Schutz und die Pflege wild lebender Tier- und Pflanzenarten (§§ 37 bis 47 des Bundesnaturschutzgesetzes) unberührt.</w:t>
      </w:r>
    </w:p>
    <w:p>
      <w:r>
        <w:rPr>
          <w:color w:val="555555"/>
          <w:sz w:val="17"/>
        </w:rPr>
        <w:t xml:space="preserve">Zitiervorschlag: § 9 VO-ID212528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https://recht.nulegal.eu/gesetze/VO-ID212528/9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