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VO-ID212528 (Brandenburg) — Schutzzweck</w:t>
      </w:r>
    </w:p>
    <w:p>
      <w:r>
        <w:rPr>
          <w:color w:val="555555"/>
          <w:sz w:val="18"/>
        </w:rPr>
        <w:t xml:space="preserve">Verordnung über das Naturschutzgebiet „Oderinsel Küstrin-Kietz“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das einen Flussabschnitt der Oder mit einer Insel und der gegenüberliegenden Vorlandfläche umfasst, ist</w:t>
      </w:r>
    </w:p>
    <w:p>
      <w:r>
        <w:t xml:space="preserve">die Erhaltung und Entwicklung der Lebensstätten wild lebender Pflanzengesellschaften, insbesondere von Sumpf-, Ried- und Röhrichtgesellschaften, von wechselfeuchtem Auengrünland sowie von artenreichen Saum- und naturnahen Laubwaldgesellschaften;</w:t>
      </w:r>
    </w:p>
    <w:p>
      <w:r>
        <w:t xml:space="preserve">die Erhaltung und Entwicklung von Lebensstätten wild lebender Pflanzenarten, darunter zahlreiche im Sinne von § 7 Absatz 2 Nummer 13 des Bundesnaturschutzgesetzes besonders geschützte Arten, insbesondere Arten der Stromtäler, beispielsweise die gebietsheimische Schwarz-Pappel (Populus nigra), Sumpfwolfsmilch (Euphorbia palustris), Gottes-Gnadenkraut (Gratiola officinalis), Wasserschwertlilie (Iris pseudacorus) sowie Kantiger Lauch (Allium angulosa);</w:t>
      </w:r>
    </w:p>
    <w:p>
      <w:r>
        <w:t xml:space="preserve">die Erhaltung und Entwicklung des Gebietes als Lebens- und Rückzugsraum sowie potenzielles Wiederausbreitungszentrum wild lebender Tierarten, insbesondere der Säugetiere, Vögel, Reptilien, Amphibien, Fische und Libellen, darunter im Sinne von § 7 Absatz 2 Nummer 13 und 14 des Bundesnaturschutzgesetzes besonders und streng geschützte Arten, insbesondere Wasserfledermaus (Myotis daubentoni), Großer Abendsegler (Nyctalus noctula), Wasserspitzmaus (Neomys fodiens), Flussuferläufer (Actitis hypoleucos), Wiedehopf (Upupa epops), Gänsesäger (Mergus merganser), Rotschenkel (Tringa totanus), Löffelente (Anas clypeata), Blässgans (Anser albifrons), Ringelnatter (Natrix natrix), Wechselkröte (Bufo viridis), Zährte (Vimba vimba), Schmerle (Neomacheilus barbatulus) und Gebänderte Prachtlibelle (Calopteryx splendens);</w:t>
      </w:r>
    </w:p>
    <w:p>
      <w:r>
        <w:t xml:space="preserve">die Erhaltung naturnaher Waldlebensgemeinschaften zur Beobachtung und Erforschung;</w:t>
      </w:r>
    </w:p>
    <w:p>
      <w:r>
        <w:t xml:space="preserve">die Erhaltung der besonderen Eigenart und hervorragenden Schönheit des Gebietes mit seinen auengeprägten Grünland- und Gehölzbeständen an der Oder sowie deren Alt- und Nebenarmen in ihrer natürlichen Überflutungsdynamik;</w:t>
      </w:r>
    </w:p>
    <w:p>
      <w:r>
        <w:t xml:space="preserve">die Erhaltung des Gebietes als wesentlicher Bestandteil des überregionalen Biotopverbundes innerhalb des Odertals.</w:t>
      </w:r>
    </w:p>
    <w:p>
      <w:r>
        <w:t xml:space="preserve">(2) Die Unterschutzstellung dient der Erhaltung und Entwicklung</w:t>
      </w:r>
    </w:p>
    <w:p>
      <w:r>
        <w:t xml:space="preserve">eines Teiles des Europäischen Vogelschutzgebietes „Mittlere Oderniederung“ (§ 7 Absatz 1 Nummer 7 des Bundesnaturschutzgesetzes) in seiner Funktion</w:t>
      </w:r>
    </w:p>
    <w:p>
      <w:r>
        <w:t xml:space="preserve">als Lebensraum von Arten nach Anhang I der Richtlinie 2009/147/EG, insbesondere Seeadler (Haliaeetus albicilla), Schwarzstorch (Ciconia nigra), Weißstorch (Ciconia ciconia), Kranich (Grus grus), Rohrweihe (Circus aeruginosus), Eisvogel (Alcedo atthis) und Neuntöter (Lanius collurio) einschließlich ihrer Brut- und Nahrungsbiotope,</w:t>
      </w:r>
    </w:p>
    <w:p>
      <w:r>
        <w:t xml:space="preserve">als Vermehrungs-, Rast-, Mauser- und Überwinterungsgebiet für im Gebiet regelmäßig auftretende Zugvogelarten wie Flussseeschwalbe (Sterna hirundo), Silberreiher (Egretta alba), Zwergsäger (Mergus albellus), Schwarzmilan (Milvus migrans) und Fischadler (Pandion haliaetus);</w:t>
      </w:r>
    </w:p>
    <w:p>
      <w:r>
        <w:t xml:space="preserve">des Gebietes von gemeinschaftlicher Bedeutung „Oderinsel Kietz“ sowie eines Teiles des Gebietes von gemeinschaftlicher Bedeutung „Oder-Neiße Ergänzung“ (§ 7 Absatz 1 Nummer 6 des Bundesnaturschutzgesetzes) mit seinem Vorkommen von</w:t>
      </w:r>
    </w:p>
    <w:p>
      <w:r>
        <w:t xml:space="preserve">natürlich eutrophen Seen mit einer Vegetation des Magnopotamions oder Hydrocharitions, Flüssen der planaren Stufe mit Vegetation des Ranunculion fluitantis und des Callitricho-Batrachion, Flüssen mit Schlammbänken mit Vegetation des Chenopodion rubri p.p. und des Bidention p.p., feuchten Hochstaudenfluren der planaren Stufe und Hartholzauenwäldern mit Quercus robur (Stiel-Eiche), Ulmus laevis (Flatter-Ulme), Ulmus minor (Feld-Ulme), Fraxinus excelsior (Gewöhnliche Esche) oder Fraxinus angustifolia (Schmalblättrige Esche) (Ulmenion minoris) als Biotope von gemeinschaftlichem Interesse („natürliche Lebensraumtypen“ im Sinne des Anhangs I der Richtlinie 92/43/EWG),</w:t>
      </w:r>
    </w:p>
    <w:p>
      <w:r>
        <w:t xml:space="preserve">Auen-Wäldern mit Alnus glutinosa (Schwarz-Erle) und Fraxinus excelsior (Gewöhnliche Esche) (Alno-Padion, Alnion incanae, Salicion albae) als prioritäres Biotop („prioritärer Lebensraumtyp“ im Sinne des Anhangs I der Richtlinie 92/43/EWG),</w:t>
      </w:r>
    </w:p>
    <w:p>
      <w:r>
        <w:t xml:space="preserve">Biber (Castor fiber), Fischotter (Lutra lutra), Rotbauchunke (Bombina bombina), Rapfen (Aspius aspius), Steinbeißer (Cobitis taenia), Flussneunauge (Lampetra fluviatilis), Bachneunauge (Lampetra planeri), Schlammpeitzger (Misgurnus fossilis), Bitterling (Rhodeus sericeus amarus), Weißflossiger Gründling (Gobio albipinnatus) und Grüner Keiljungfer (Ophiogomphus cecilia) als Tierarten von gemeinschaftlichem Interesse (im Sinne des Anhangs II der Richtlinie 92/43/EWG) einschließlich ihrer für Fortpflanzung, Ernährung, Wanderung und Überwinterung wichtigen Lebensräume,</w:t>
      </w:r>
    </w:p>
    <w:p>
      <w:r>
        <w:t xml:space="preserve">Eremit (Osmoderma eremita) als prioritärer Tierart von gemeinschaftlichem Interesse (im Sinne des Anhangs II der Richtlinie 92/43/EWG) einschließlich seiner für Fortpflanzung, Ernährung, Wanderung und Überwinterung wichtigen Lebensräume.</w:t>
      </w:r>
    </w:p>
    <w:p>
      <w:r>
        <w:t xml:space="preserve">(3) Darüber hinaus ist besonderer Schutzzweck der Zone 1 (Naturentwicklungsgebiet) die Entwicklung natürlicher Auwaldökosysteme sowie der Schutz der Gesamtheit ökologischer Prozesse in ihrer natürlichen Dynamik.</w:t>
      </w:r>
    </w:p>
    <w:p>
      <w:r>
        <w:rPr>
          <w:color w:val="555555"/>
          <w:sz w:val="17"/>
        </w:rPr>
        <w:t xml:space="preserve">Zitiervorschlag: § 3 VO-ID212528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https://recht.nulegal.eu/gesetze/VO-ID212528/3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