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VO-ID212523 (Brandenburg) — Duldungspflicht, Verhältnis zu anderen naturschutzrechtlichen Bestimmungen</w:t>
      </w:r>
    </w:p>
    <w:p>
      <w:r>
        <w:rPr>
          <w:color w:val="555555"/>
          <w:sz w:val="18"/>
        </w:rPr>
        <w:t xml:space="preserve">Verordnung über das Naturschutzgebiet „Putlitzer Stadtheide“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Duldung von</w:t>
      </w:r>
    </w:p>
    <w:p>
      <w:r>
        <w:t xml:space="preserve">Maßnahmen des Naturschutzes und der Landschaftspflege, die zur Ausführung der in</w:t>
      </w:r>
    </w:p>
    <w:p>
      <w:r>
        <w:t xml:space="preserve">dieser Verordnung festgelegten Schutz-, Pflege- und Entwicklungsmaßnahmen und</w:t>
      </w:r>
    </w:p>
    <w:p>
      <w:r>
        <w:t xml:space="preserve">zur Verwirklichung des Schutzzwecks erforderlich sind, richtet sich nach § 65</w:t>
      </w:r>
    </w:p>
    <w:p>
      <w:r>
        <w:t xml:space="preserve">des Bundesnaturschutzgesetzes in Verbindung mit § 68 des Brandenburgischen</w:t>
      </w:r>
    </w:p>
    <w:p>
      <w:r>
        <w:t xml:space="preserve">Naturschutzgesetzes.</w:t>
      </w:r>
    </w:p>
    <w:p>
      <w:r>
        <w:t xml:space="preserve">(2) Die Vorschriften</w:t>
      </w:r>
    </w:p>
    <w:p>
      <w:r>
        <w:t xml:space="preserve">dieser Verordnung gehen anderen naturschutzrechtlichen Schutzausweisungen im</w:t>
      </w:r>
    </w:p>
    <w:p>
      <w:r>
        <w:t xml:space="preserve">Bereich des in § 2 genannten Gebietes vor.</w:t>
      </w:r>
    </w:p>
    <w:p>
      <w:r>
        <w:t xml:space="preserve">(3) Soweit diese</w:t>
      </w:r>
    </w:p>
    <w:p>
      <w:r>
        <w:t xml:space="preserve">Verordnung keine weiter gehenden Vorschriften enthält, bleiben die Regelungen</w:t>
      </w:r>
    </w:p>
    <w:p>
      <w:r>
        <w:t xml:space="preserve">über gesetzlich geschützte Teile von Natur und Landschaft (insbesondere §§ 31</w:t>
      </w:r>
    </w:p>
    <w:p>
      <w:r>
        <w:t xml:space="preserve">bis 33 und § 35 des Brandenburgischen Naturschutzgesetzes, § 30 des</w:t>
      </w:r>
    </w:p>
    <w:p>
      <w:r>
        <w:t xml:space="preserve">Bundesnaturschutzgesetzes) und über den Schutz und die Pflege wild lebender</w:t>
      </w:r>
    </w:p>
    <w:p>
      <w:r>
        <w:t xml:space="preserve">Tier- und Pflanzenarten (§§ 37 bis 47 des Bundesnaturschutzgesetzes) unberührt.</w:t>
      </w:r>
    </w:p>
    <w:p>
      <w:r>
        <w:rPr>
          <w:color w:val="555555"/>
          <w:sz w:val="17"/>
        </w:rPr>
        <w:t xml:space="preserve">Zitiervorschlag: § 9 VO-ID212523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https://recht.nulegal.eu/gesetze/VO-ID212523/9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