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VO-ID212523 (Brandenburg) — Inkrafttreten</w:t>
      </w:r>
    </w:p>
    <w:p>
      <w:r>
        <w:rPr>
          <w:color w:val="555555"/>
          <w:sz w:val="18"/>
        </w:rPr>
        <w:t xml:space="preserve">Verordnung über das Naturschutzgebiet „Putlitzer Stadtheide“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25. Oktober 2010</w:t>
      </w:r>
    </w:p>
    <w:p>
      <w:r>
        <w:t xml:space="preserve">Die</w:t>
      </w:r>
    </w:p>
    <w:p>
      <w:r>
        <w:t xml:space="preserve">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11 VO-ID212523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https://recht.nulegal.eu/gesetze/VO-ID212523/11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VO-ID212523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