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VO-ID212513 (Brandenburg) — Verhältnis zu anderen rechtlichen Bedingungen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Regelungen naturschutzrechtlicher Schutzgebietsausweisungen im Bereich des in</w:t>
      </w:r>
    </w:p>
    <w:p>
      <w:r>
        <w:t xml:space="preserve">§ 2 genannten Gebietes bleiben unberührt.</w:t>
      </w:r>
    </w:p>
    <w:p>
      <w:r>
        <w:t xml:space="preserve">(2)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Bundesnaturschutzgesetzes, §§ 37 bis 43 des Brandenburgischen</w:t>
      </w:r>
    </w:p>
    <w:p>
      <w:r>
        <w:t xml:space="preserve">Naturschutzgesetzes) bleiben unberührt.</w:t>
      </w:r>
    </w:p>
    <w:p>
      <w:r>
        <w:rPr>
          <w:color w:val="555555"/>
          <w:sz w:val="17"/>
        </w:rPr>
        <w:t xml:space="preserve">Zitiervorschlag: § 8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