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VO-ID212513 (Brandenburg) — Zulässige Handlungen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</w:t>
      </w:r>
    </w:p>
    <w:p>
      <w:r>
        <w:t xml:space="preserve">von den Verboten des § 4 bleiben folgende Handlungen:</w:t>
      </w:r>
    </w:p>
    <w:p>
      <w:r>
        <w:t xml:space="preserve">behördliche sowie behördlich angeordnete</w:t>
      </w:r>
    </w:p>
    <w:p>
      <w:r>
        <w:t xml:space="preserve">oder zugelassene Beschilderungen, soweit sie auf den Schutzzweck des</w:t>
      </w:r>
    </w:p>
    <w:p>
      <w:r>
        <w:t xml:space="preserve">Gebietes hinweisen oder als hoheitliche Kennzeichnungen, Orts- oder</w:t>
      </w:r>
    </w:p>
    <w:p>
      <w:r>
        <w:t xml:space="preserve">Verkehrshinweise, Wegemarkierungen oder Warntafeln dienen;</w:t>
      </w:r>
    </w:p>
    <w:p>
      <w:r>
        <w:t xml:space="preserve">Maßnahmen, die der Abwehr einer unmittelbar</w:t>
      </w:r>
    </w:p>
    <w:p>
      <w:r>
        <w:t xml:space="preserve">drohenden Gefahr für die öffentliche Sicherheit und Ordnung dienen. Die</w:t>
      </w:r>
    </w:p>
    <w:p>
      <w:r>
        <w:t xml:space="preserve">untere Forstbehörde ist über die getroffenen Maßnahmen unverzüglich zu</w:t>
      </w:r>
    </w:p>
    <w:p>
      <w:r>
        <w:t xml:space="preserve">unterrichten. Sie kann nachträglich ergänzende Anordnungen zur Vereinbarkeit</w:t>
      </w:r>
    </w:p>
    <w:p>
      <w:r>
        <w:t xml:space="preserve">mit dem Schutzzweck treffen.</w:t>
      </w:r>
    </w:p>
    <w:p>
      <w:r>
        <w:t xml:space="preserve">(2) Die</w:t>
      </w:r>
    </w:p>
    <w:p>
      <w:r>
        <w:t xml:space="preserve">in § 4 für das Betreten und Befahren des Schutzwaldes enthaltenen</w:t>
      </w:r>
    </w:p>
    <w:p>
      <w:r>
        <w:t xml:space="preserve">Einschränkungen gelten nicht für die Dienstkräfte der Forstbehörden und sonstige</w:t>
      </w:r>
    </w:p>
    <w:p>
      <w:r>
        <w:t xml:space="preserve">von den Forstbehörden beauftragte Personen sowie für Dienstkräfte und</w:t>
      </w:r>
    </w:p>
    <w:p>
      <w:r>
        <w:t xml:space="preserve">beauftragte Personen anderer zuständiger Behörden und Einrichtungen, soweit</w:t>
      </w:r>
    </w:p>
    <w:p>
      <w:r>
        <w:t xml:space="preserve">diese in Wahrnehmung ihrer gesetzlichen Aufgaben handeln. Sie gelten unbeschadet</w:t>
      </w:r>
    </w:p>
    <w:p>
      <w:r>
        <w:t xml:space="preserve">anderer Regelungen weiterhin nicht für Eigentümer und Nutzer zur Durchführung</w:t>
      </w:r>
    </w:p>
    <w:p>
      <w:r>
        <w:t xml:space="preserve">von Maßnahmen zur Sicherung des Bestandes und der zulässigen Nutzung des</w:t>
      </w:r>
    </w:p>
    <w:p>
      <w:r>
        <w:t xml:space="preserve">Eigentums.</w:t>
      </w:r>
    </w:p>
    <w:p>
      <w:r>
        <w:rPr>
          <w:color w:val="555555"/>
          <w:sz w:val="17"/>
        </w:rPr>
        <w:t xml:space="preserve">Zitiervorschlag: § 5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