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VO-ID212513 (Brandenburg) — Inkrafttreten</w:t>
      </w:r>
    </w:p>
    <w:p>
      <w:r>
        <w:rPr>
          <w:color w:val="555555"/>
          <w:sz w:val="18"/>
        </w:rPr>
        <w:t xml:space="preserve">Verordnung über den Schutzwald „Melzower Buchennaturwald“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</w:t>
      </w:r>
    </w:p>
    <w:p>
      <w:r>
        <w:t xml:space="preserve">Tag nach der Verkündung in Kraft.</w:t>
      </w:r>
    </w:p>
    <w:p>
      <w:r>
        <w:t xml:space="preserve">Potsdam, den 17. August 2010</w:t>
      </w:r>
    </w:p>
    <w:p>
      <w:r>
        <w:t xml:space="preserve">Der Minister für</w:t>
      </w:r>
    </w:p>
    <w:p>
      <w:r>
        <w:t xml:space="preserve">Infrastruktur und Landwirtschaft</w:t>
      </w:r>
    </w:p>
    <w:p>
      <w:r>
        <w:t xml:space="preserve">Jörg Vogelsänger</w:t>
      </w:r>
    </w:p>
    <w:p>
      <w:r>
        <w:rPr>
          <w:color w:val="555555"/>
          <w:sz w:val="17"/>
        </w:rPr>
        <w:t xml:space="preserve">Zitiervorschlag: § 10 VO-ID212513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https://recht.nulegal.eu/gesetze/VO-ID212513/10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