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VO-ID212511 (Brandenburg) — Inkrafttreten</w:t>
      </w:r>
    </w:p>
    <w:p>
      <w:r>
        <w:rPr>
          <w:color w:val="555555"/>
          <w:sz w:val="18"/>
        </w:rPr>
        <w:t xml:space="preserve">Verordnung zur Übertragung von Ermächtigungen zur Durchführung des Forstvermehrungsgutgesetzes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</w:t>
      </w:r>
    </w:p>
    <w:p>
      <w:r>
        <w:t xml:space="preserve">tritt am Tag nach der Verkündung in Kraft.</w:t>
      </w:r>
    </w:p>
    <w:p>
      <w:r>
        <w:t xml:space="preserve">Potsdam, den 23.</w:t>
      </w:r>
    </w:p>
    <w:p>
      <w:r>
        <w:t xml:space="preserve">Juli 2010</w:t>
      </w:r>
    </w:p>
    <w:p>
      <w:r>
        <w:t xml:space="preserve">Die Landesregierung</w:t>
      </w:r>
    </w:p>
    <w:p>
      <w:r>
        <w:t xml:space="preserve">des Landes Brandenburg</w:t>
      </w:r>
    </w:p>
    <w:p>
      <w:r>
        <w:t xml:space="preserve">Der</w:t>
      </w:r>
    </w:p>
    <w:p>
      <w:r>
        <w:t xml:space="preserve">Ministerpräsident</w:t>
      </w:r>
    </w:p>
    <w:p>
      <w:r>
        <w:t xml:space="preserve">Matthias Platzeck</w:t>
      </w:r>
    </w:p>
    <w:p>
      <w:r>
        <w:t xml:space="preserve">Der Minister für Infrastruktur und Landwirtschaft</w:t>
      </w:r>
    </w:p>
    <w:p>
      <w:r>
        <w:t xml:space="preserve">In Vertretung</w:t>
      </w:r>
    </w:p>
    <w:p>
      <w:r>
        <w:t xml:space="preserve">Rainer Bretschneider</w:t>
      </w:r>
    </w:p>
    <w:p>
      <w:r>
        <w:rPr>
          <w:color w:val="555555"/>
          <w:sz w:val="17"/>
        </w:rPr>
        <w:t xml:space="preserve">Zitiervorschlag: § 2 VO-ID212511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https://recht.nulegal.eu/gesetze/VO-ID212511/2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