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VO-ID212486 (Brandenburg) — Inkrafttreten</w:t>
      </w:r>
    </w:p>
    <w:p>
      <w:r>
        <w:rPr>
          <w:color w:val="555555"/>
          <w:sz w:val="18"/>
        </w:rPr>
        <w:t xml:space="preserve">Verordnung zur Übertragung von Ermächtigungen zum Erlaß von Rechtsverordnungen nach dem Weinrecht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22. Januar 1996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Ernährung, Landwirtschaft und Forsten</w:t>
      </w:r>
    </w:p>
    <w:p>
      <w:r>
        <w:t xml:space="preserve">Edwin Zimmermann</w:t>
      </w:r>
    </w:p>
    <w:p>
      <w:r>
        <w:rPr>
          <w:color w:val="555555"/>
          <w:sz w:val="17"/>
        </w:rPr>
        <w:t xml:space="preserve">Zitiervorschlag: § 2 VO-ID212486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https://recht.nulegal.eu/gesetze/VO-ID212486/2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