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VO-ID212486 (Brandenburg) — Übertragung von Ermächtigungen</w:t>
      </w:r>
    </w:p>
    <w:p>
      <w:r>
        <w:rPr>
          <w:color w:val="555555"/>
          <w:sz w:val="18"/>
        </w:rPr>
        <w:t xml:space="preserve">Verordnung zur Übertragung von Ermächtigungen zum Erlaß von Rechtsverordnungen nach dem Weinrecht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Soweit die Landesregierung auf Grund des Weingesetzes oder der auf Grund des Weingesetzes erlassenen Rechtsverordnungen zum Erlaß von Rechtsverordnungen ermächtigt ist, wird die Ermächtigung auf</w:t>
      </w:r>
    </w:p>
    <w:p>
      <w:r>
        <w:t xml:space="preserve">das für Landwirtschaft zuständige Mitglied der Landesregierung übertragen.</w:t>
      </w:r>
    </w:p>
    <w:p>
      <w:r>
        <w:rPr>
          <w:color w:val="555555"/>
          <w:sz w:val="17"/>
        </w:rPr>
        <w:t xml:space="preserve">Zitiervorschlag: § 1 VO-ID212486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https://recht.nulegal.eu/gesetze/VO-ID212486/1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