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VO-ID212466 (Brandenburg) — Schutzzweck</w:t>
      </w:r>
    </w:p>
    <w:p>
      <w:r>
        <w:rPr>
          <w:color w:val="555555"/>
          <w:sz w:val="18"/>
        </w:rPr>
        <w:t xml:space="preserve">Verordnung über den Schutzwald „Naturwald Ruppiner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Schutzwaldes ist</w:t>
      </w:r>
    </w:p>
    <w:p>
      <w:r>
        <w:t xml:space="preserve">die Erhaltung und Entwicklung eines natürlich</w:t>
      </w:r>
    </w:p>
    <w:p>
      <w:r>
        <w:t xml:space="preserve">entstandenen Buchenwaldes verschiedener Vegetationsausprägungen;</w:t>
      </w:r>
    </w:p>
    <w:p>
      <w:r>
        <w:t xml:space="preserve">die Bewahrung seiner besonderen Eigenart und</w:t>
      </w:r>
    </w:p>
    <w:p>
      <w:r>
        <w:t xml:space="preserve">hervorragenden Schönheit;</w:t>
      </w:r>
    </w:p>
    <w:p>
      <w:r>
        <w:t xml:space="preserve">die Erhaltung und Wiederherstellung der</w:t>
      </w:r>
    </w:p>
    <w:p>
      <w:r>
        <w:t xml:space="preserve">Leistungsfähigkeit des Naturhaushaltes.</w:t>
      </w:r>
    </w:p>
    <w:p>
      <w:r>
        <w:t xml:space="preserve">(2) Der besondere Schutzzweck ist der Erhalt des</w:t>
      </w:r>
    </w:p>
    <w:p>
      <w:r>
        <w:t xml:space="preserve">Naturwaldes insbesondere zur</w:t>
      </w:r>
    </w:p>
    <w:p>
      <w:r>
        <w:t xml:space="preserve">langfristigen wissenschaftlichen Erforschung der durch</w:t>
      </w:r>
    </w:p>
    <w:p>
      <w:r>
        <w:t xml:space="preserve">den Menschen nicht direkt beeinflussten Waldentwicklung;</w:t>
      </w:r>
    </w:p>
    <w:p>
      <w:r>
        <w:t xml:space="preserve">Erforschung der Waldstruktur, des Bodens, der Flora</w:t>
      </w:r>
    </w:p>
    <w:p>
      <w:r>
        <w:t xml:space="preserve">und der Fauna;</w:t>
      </w:r>
    </w:p>
    <w:p>
      <w:r>
        <w:t xml:space="preserve">Nutzung als lokale und regionale Weiserfläche zur</w:t>
      </w:r>
    </w:p>
    <w:p>
      <w:r>
        <w:t xml:space="preserve">Ableitung und exemplarischen Veranschaulichung von Erkenntnissen für die</w:t>
      </w:r>
    </w:p>
    <w:p>
      <w:r>
        <w:t xml:space="preserve">Waldbaupraxis und für die forstliche Lehre;</w:t>
      </w:r>
    </w:p>
    <w:p>
      <w:r>
        <w:t xml:space="preserve">Erhaltung und Regeneration forstgenetischer</w:t>
      </w:r>
    </w:p>
    <w:p>
      <w:r>
        <w:t xml:space="preserve">Ressourcen;</w:t>
      </w:r>
    </w:p>
    <w:p>
      <w:r>
        <w:t xml:space="preserve">Erhaltung der floristischen und faunistischen</w:t>
      </w:r>
    </w:p>
    <w:p>
      <w:r>
        <w:t xml:space="preserve">Artenvielfalt in sich natürlich entwickelnden Lebensgemeinschaften.</w:t>
      </w:r>
    </w:p>
    <w:p>
      <w:r>
        <w:t xml:space="preserve">(3) Die Unterschutzstellung dient der Erhaltung und</w:t>
      </w:r>
    </w:p>
    <w:p>
      <w:r>
        <w:t xml:space="preserve">Entwicklung eines Teils des Gebietes von gemeinschaftlicher Bedeutung „Ruppiner</w:t>
      </w:r>
    </w:p>
    <w:p>
      <w:r>
        <w:t xml:space="preserve">Schweiz“ mit der Gebietsnummer DE 2942-302 im Sinne des § 2a Absatz 1 Nummer 8</w:t>
      </w:r>
    </w:p>
    <w:p>
      <w:r>
        <w:t xml:space="preserve">des Brandenburgischen Naturschutzgesetzes mit seinem Vorkommen von</w:t>
      </w:r>
    </w:p>
    <w:p>
      <w:r>
        <w:t xml:space="preserve">„Waldmeister-Buchenwald“ als Biotop von gemeinschaftlichem Interesse</w:t>
      </w:r>
    </w:p>
    <w:p>
      <w:r>
        <w:t xml:space="preserve">(„natürlicher Lebensraumtyp“ im Sinne des Anhangs I der Richtlinie 92/43/EWG).</w:t>
      </w:r>
    </w:p>
    <w:p>
      <w:r>
        <w:rPr>
          <w:color w:val="555555"/>
          <w:sz w:val="17"/>
        </w:rPr>
        <w:t xml:space="preserve">Zitiervorschlag: § 3 VO-ID212466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https://recht.nulegal.eu/gesetze/VO-ID212466/3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