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VO-ID212434 (Brandenburg) — Schutzzweck</w:t>
      </w:r>
    </w:p>
    <w:p>
      <w:r>
        <w:rPr>
          <w:color w:val="555555"/>
          <w:sz w:val="18"/>
        </w:rPr>
        <w:t xml:space="preserve">Verordnung über das Naturschutzgebiet „Kremmener Luch“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Schutzzweck des Naturschutzgebietes als großflächiges, naturnahes Niedermoorgebiet ist</w:t>
      </w:r>
    </w:p>
    <w:p>
      <w:r>
        <w:t xml:space="preserve">die Erhaltung, Wiederherstellung und Entwicklung der Lebensräume wild lebender Pflanzengesellschaften, insbesondere der Moore und Sümpfe, der Moor- und Bruchwälder, der Schwimmblattgesellschaften und Röhrichte der Verlandungszonen und Gewässerufer, der Feucht- und Nasswiesen einschließlich ihrer Auflassungsstadien sowie der Kleingewässer;</w:t>
      </w:r>
    </w:p>
    <w:p>
      <w:r>
        <w:t xml:space="preserve">die Erhaltung und Entwicklung der Lebensräume wild lebender Pflanzenarten, darunter im Sinne von § 10 Absatz 2 Nummer 10 des Bundesnaturschutzgesetzes besonders geschützte Arten, beispielsweise Calla (Calla palustris), Breitblättriges Knabenkraut (Dactylorhiza majalis), Breitblättriger Sitter (Epipactis helleborine), Wasser-Schwertlilie (Iris pseudacorus), Sumpf-Platterbse (Lathyrus palustris), Fieberklee (Menyanthes trifoliata), Gelbe Teichrose (Nuphar lutea), Weiße Seerose (Nymphaea alba), Zungen-Hahnenfuß (Ranunculus lingua), Färberscharte (Serratula tinctoria), Krebsschere (Stratiotes aloides) sowie verschiedene heimische Torfmoosarten (Sphagnum spp.);</w:t>
      </w:r>
    </w:p>
    <w:p>
      <w:r>
        <w:t xml:space="preserve">die Erhaltung und Entwicklung des Gebietes als unzerschnittener störungsarmer Lebens- und Rückzugsraum sowie potenzielles Wiederausbreitungszentrum wild lebender Tierarten, insbesondere</w:t>
      </w:r>
    </w:p>
    <w:p>
      <w:r>
        <w:t xml:space="preserve">als Lebensraum für Säugetiere, Vögel und Amphibien sowie einer artenreichen, insbesondere an Moore, Sümpfe und Gewässer sowie Feucht- und Nasswiesen gebundenen Libellen- und Heuschreckenfauna, darunter im Si nne von § 10 Absatz 2 Nummer 10 und 11 des Bu n-desnaturschutzgesetzes besonders und streng geschützte Arten, beispielsweise verschiedene Fledermausarten (Microchiroptera spp.), Schilfrohrsänger (Acrocephalus schoenobaenus), Knäkente (Anas querquedula), Bekassine (Gallinago gallinago), Kiebitz (Vanellus vanel lus), Knoblauchkröte (Pelobates fuscus) und Moor frosch (Rana arvalis),</w:t>
      </w:r>
    </w:p>
    <w:p>
      <w:r>
        <w:t xml:space="preserve">als Bestandteil des bedeutendsten binnenländischen Kranichrastplatzes in Mitteleuropa,</w:t>
      </w:r>
    </w:p>
    <w:p>
      <w:r>
        <w:t xml:space="preserve">als Lebensraum und vitales Reproduktionszentrum für Fischotter und Elbebiber;</w:t>
      </w:r>
    </w:p>
    <w:p>
      <w:r>
        <w:t xml:space="preserve">die Erhaltung und Entwicklung des Gebietes aus wissenschaftlichen Gründen zur Beobachtung des wachsenden Niedermoores als Referenzfläche für die Niedermoorforschung;</w:t>
      </w:r>
    </w:p>
    <w:p>
      <w:r>
        <w:t xml:space="preserve">die Erhaltung und Entwicklung des Gebietes als wesentlicher Teil des überregionalen Biotopverbundes zwischen den Gewässersystemen von Elbe, Brandenburger/Mecklenburger Seenplatte, Oberer Havel und Oder-Havel-Kanal bis zur Oder.</w:t>
      </w:r>
    </w:p>
    <w:p>
      <w:r>
        <w:t xml:space="preserve">(2) Die Unterschutzstellung dient der Erhaltung und Entwicklung</w:t>
      </w:r>
    </w:p>
    <w:p>
      <w:r>
        <w:t xml:space="preserve">eines Teiles des Europäischen Vogelschutzgebietes „Rhin-Havelluch“ (§ 2a Absatz 1 Nummer 9 des Brandenburgischen Naturschutzgesetzes) in seiner Funktion</w:t>
      </w:r>
    </w:p>
    <w:p>
      <w:r>
        <w:t xml:space="preserve">als Lebensraum von Arten nach Anhang I der Richtlinie 79/409/EWG, beispielsweise Eisvogel (Alcedo</w:t>
      </w:r>
    </w:p>
    <w:p>
      <w:r>
        <w:t xml:space="preserve">atthis), Große Rohrdommel (Botaurus stellaris), Rohr-weihe (Circus aeruginosus), Wachtelkönig (Crex crex), Kranich (Grus grus), Seeadler (Haliaeetus albicilla), Zwergrohrdommel (Ixobrychus minutus), Neuntöter (Lanius collurio), Blaukehlchen (Luscinia svecica), Rotm ilan (Milvus milvus), Schwarzmilan (Milvus migr ans), Kleines Sumpfhuhn (Porzana parva), Tüpfelsumpfhuhn (Porzana porzana), Flussseeschwalbe (Sterna hirundo), und Sperbergrasmücke (Sylvia nisoria) einschließlich ihrer Brut- und Nahrungsbiotope,</w:t>
      </w:r>
    </w:p>
    <w:p>
      <w:r>
        <w:t xml:space="preserve">als Vermehrungs-, Rast-, Mauser- und Überwinterungsgebiet für im Gebiet regelmäßig auftretende Zugvogel-arten wie Kranich (Grus grus), Bekassine (Gallinago gallinago), Kiebitz (Vanellus vanellus) sowie verschiedene Gänse- und Entenarten;</w:t>
      </w:r>
    </w:p>
    <w:p>
      <w:r>
        <w:t xml:space="preserve">der Gebiete von gemeinschaftlicher Bedeutung „Kremmener Luch“ (§ 2a Absatz 1 Nummer 8 des Brandenburgischen Naturschutzgesetzes) mit ihren Vorkommen von</w:t>
      </w:r>
    </w:p>
    <w:p>
      <w:r>
        <w:t xml:space="preserve">natürlichen eutrophen Seen mit einer Vegetation des Magnopotamions und Hydrocharitions, Flüssen der planaren Stufe mit Vegetation des Ranunculion fluitantis und des Callitricho-Batrachion, Pfeifengraswiesen auf kalkreichen und torfigen Böden (Molinion caerulae) sowie feuchten Hochstaudenfluren der planaren Stufe als Biotope von gemeinschaftlichem Interesse („natürliche Lebensraumtypen“ im Sinne des Anhangs I der Richtlinie 92/43/EWG),</w:t>
      </w:r>
    </w:p>
    <w:p>
      <w:r>
        <w:t xml:space="preserve">Moorwäldern sowie Auen-Wäldern mit Alnus glutinosa (Schwarz-Erle) und Fraxinus excelsior (Gewöhnliche Esche) als prioritäre Biotope („prioritäre Lebensraumtypen“ im Sinne des Anhangs I der Richtlinie 92/43/EWG),</w:t>
      </w:r>
    </w:p>
    <w:p>
      <w:r>
        <w:t xml:space="preserve">Biber (Castor fiber), Fischotter (Lutra lutra), Teichfledermaus (Myotis dasycneme), Rotbauchunke (Bombina bombina), Schlammpeitzger (Misgurnus fossilis), Großem Feuerfalter (Lycaena dispar), Bauchiger Windelschnecke (Vertigo moulinsiana) und Schmaler Windelschnecke (Vertigo angustior) als Tierarten von gemeinschaftlichem Interesse (im Sinne des Anhangs II der Richtlinie 92/43/EWG), einschließlich ihrer für Fortpflanzung, Ernährung, Wanderung und Überwinterung wichtigen Lebensräume.</w:t>
      </w:r>
    </w:p>
    <w:p>
      <w:r>
        <w:rPr>
          <w:color w:val="555555"/>
          <w:sz w:val="17"/>
        </w:rPr>
        <w:t xml:space="preserve">Zitiervorschlag: § 3 VO-ID212434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https://recht.nulegal.eu/gesetze/VO-ID212434/3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