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VO-ID212428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„Kastavenseen-Molkenkammersee“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 wird als Zielvorgabe benannt:</w:t>
      </w:r>
    </w:p>
    <w:p>
      <w:r>
        <w:t xml:space="preserve">Die Entnahme von Spiegel-, Marmor- und Silberkarpfen aus dem Oberkastavensee wird angestrebt.</w:t>
      </w:r>
    </w:p>
    <w:p>
      <w:r>
        <w:rPr>
          <w:color w:val="555555"/>
          <w:sz w:val="17"/>
        </w:rPr>
        <w:t xml:space="preserve">Zitiervorschlag: § 6 VO-ID212428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