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VO-ID212428 (Brandenburg) — Verbote</w:t>
      </w:r>
    </w:p>
    <w:p>
      <w:r>
        <w:rPr>
          <w:color w:val="555555"/>
          <w:sz w:val="18"/>
        </w:rPr>
        <w:t xml:space="preserve">Verordnung über das Naturschutzgebiet „Kastavenseen-Molkenkammersee“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21 Absatz 2 Satz 1 des Brandenburgischen 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außerhalb der Zone 1 und außerhalb von Röhrichten und Bruchwäldern das Betreten zum Zwecke der Erholung nach dem 30. Juni eines jeden Jahres;</w:t>
      </w:r>
    </w:p>
    <w:p>
      <w:r>
        <w:t xml:space="preserve">außerhalb der für den öffentlichen Verkehr gewidmeten Straßen und Wege sowie außerhalb der Wege, die von zwei- oder mehrspurigen Fahrzeugen befahren werden können und außerhalb der Waldbrandwundstreifen zu reiten;</w:t>
      </w:r>
    </w:p>
    <w:p>
      <w:r>
        <w:t xml:space="preserve">mit nicht motorisierten Fahrzeugen außerhalb der Wege sowie mit Kraftfahrzeugen außerhalb der für den öffentlichen Verkehr gewidmeten Straßen und Wege zu fahren oder Fahrzeuge dort abzustellen, zu warten oder zu pflegen. Hinsichtlich des Fahrens mit bespannten Fahrzeugen gelten darüber hinaus die Regelungen des Brandenburgischen Naturschutzgesetzes und des Waldgesetzes des Landes Brandenburg;</w:t>
      </w:r>
    </w:p>
    <w:p>
      <w:r>
        <w:t xml:space="preserve">im Oberkastavensee innerhalb der Zone 1 zu baden oder zu tauchen; das Baden und Tauchen außerhalb der Zone 1 ist vom Boot sowie von den in den in § 2 Absatz 2 genannten Karten gekennzeichneten Uferabschnitten und Badestellen aus zulässig; ausgenommen sind Röhrichte oder Schwimmblattgesellschaften;</w:t>
      </w:r>
    </w:p>
    <w:p>
      <w:r>
        <w:t xml:space="preserve">Wasserfahrzeuge aller Art einschließlich Surfbretter oder Luftmatratzen zu benutzen; ausgenommen davon sind Boote ohne eigenen Antrieb und Luftmatratzen auf dem Großen Kastavensee außerhalb von Röhrichten oder Schwimmblattgesellschaften;</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und Sekundärrohstoffdünger (zum Beispiel Abwasser, Klärschlamm und Bioabfälle) zum Zwecke der Düngung sowie Abwasser zu sonstigen Zwecken zu lagern, auf- oder auszubringen oder einzuleiten;</w:t>
      </w:r>
    </w:p>
    <w:p>
      <w:r>
        <w:t xml:space="preserve">sonstige Abfälle im Sinne des Kreislaufwirtschafts- und Abfallgesetzes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oder neu anzusäen.</w:t>
      </w:r>
    </w:p>
    <w:p>
      <w:r>
        <w:rPr>
          <w:color w:val="555555"/>
          <w:sz w:val="17"/>
        </w:rPr>
        <w:t xml:space="preserve">Zitiervorschlag: § 4 VO-ID212428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https://recht.nulegal.eu/gesetze/VO-ID212428/4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